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0208" w14:textId="60C211BE" w:rsidR="00873866" w:rsidRDefault="004112CE" w:rsidP="7BE0DF4B">
      <w:pPr>
        <w:pStyle w:val="Corpotesto"/>
        <w:spacing w:before="68" w:line="283" w:lineRule="auto"/>
        <w:ind w:left="10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C988D" wp14:editId="68553934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" style="position:absolute;margin-left:54.5pt;margin-top:55.65pt;width:6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" w14:anchorId="21117C2A">
                <v:path arrowok="t"/>
                <w10:wrap type="topAndBottom" anchorx="page"/>
              </v:shape>
            </w:pict>
          </mc:Fallback>
        </mc:AlternateConten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CFU)</w:t>
      </w:r>
      <w:r>
        <w:rPr>
          <w:spacing w:val="-7"/>
        </w:rPr>
        <w:t xml:space="preserve"> </w:t>
      </w:r>
      <w:r w:rsidR="00DA5A77">
        <w:rPr>
          <w:spacing w:val="-7"/>
        </w:rPr>
        <w:t>–</w:t>
      </w:r>
      <w:r w:rsidR="1418CAD4">
        <w:rPr>
          <w:spacing w:val="-7"/>
        </w:rPr>
        <w:t xml:space="preserve"> </w:t>
      </w:r>
      <w:r w:rsidR="00DA5A77">
        <w:rPr>
          <w:color w:val="FF0000"/>
          <w:spacing w:val="-7"/>
        </w:rPr>
        <w:t>Qualità e Lean Management</w:t>
      </w:r>
    </w:p>
    <w:p w14:paraId="0BBCC6F9" w14:textId="46A70F9E" w:rsidR="00873866" w:rsidRDefault="00873866">
      <w:pPr>
        <w:spacing w:before="300"/>
        <w:ind w:left="100"/>
        <w:rPr>
          <w:rFonts w:ascii="Arial"/>
          <w:b/>
        </w:rPr>
      </w:pPr>
    </w:p>
    <w:p w14:paraId="6429FEAB" w14:textId="77777777" w:rsidR="00873866" w:rsidRDefault="00873866">
      <w:pPr>
        <w:pStyle w:val="Corpotesto"/>
        <w:rPr>
          <w:rFonts w:ascii="Arial"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14:paraId="5CABEFBD" w14:textId="77777777" w:rsidTr="4E6D0C85">
        <w:trPr>
          <w:trHeight w:val="394"/>
        </w:trPr>
        <w:tc>
          <w:tcPr>
            <w:tcW w:w="3815" w:type="dxa"/>
          </w:tcPr>
          <w:p w14:paraId="3A1BD983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</w:p>
        </w:tc>
        <w:tc>
          <w:tcPr>
            <w:tcW w:w="9313" w:type="dxa"/>
          </w:tcPr>
          <w:p w14:paraId="597445F0" w14:textId="47FBC880" w:rsidR="00873866" w:rsidRDefault="00DA5A77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 xml:space="preserve">Qualità e </w:t>
            </w:r>
            <w:proofErr w:type="spellStart"/>
            <w:r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lean</w:t>
            </w:r>
            <w:proofErr w:type="spellEnd"/>
            <w:r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 xml:space="preserve"> management</w:t>
            </w:r>
          </w:p>
        </w:tc>
      </w:tr>
      <w:tr w:rsidR="00873866" w14:paraId="697072D7" w14:textId="77777777" w:rsidTr="4E6D0C85">
        <w:trPr>
          <w:trHeight w:val="634"/>
        </w:trPr>
        <w:tc>
          <w:tcPr>
            <w:tcW w:w="3815" w:type="dxa"/>
          </w:tcPr>
          <w:p w14:paraId="4B19008C" w14:textId="77777777" w:rsidR="00873866" w:rsidRDefault="004112CE" w:rsidP="0F2561BC">
            <w:pPr>
              <w:pStyle w:val="TableParagraph"/>
              <w:spacing w:before="76"/>
              <w:ind w:left="90" w:right="6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Insegnamento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integrato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cui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appartiene il modulo</w:t>
            </w:r>
          </w:p>
        </w:tc>
        <w:tc>
          <w:tcPr>
            <w:tcW w:w="9313" w:type="dxa"/>
          </w:tcPr>
          <w:p w14:paraId="1936E15D" w14:textId="2C253ADF" w:rsidR="00873866" w:rsidRDefault="00CE23F9" w:rsidP="00647D7C">
            <w:pPr>
              <w:pStyle w:val="TableParagraph"/>
              <w:tabs>
                <w:tab w:val="left" w:pos="1163"/>
              </w:tabs>
              <w:spacing w:before="75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Sistemi organizzativi e qualità nella P.A.</w:t>
            </w:r>
          </w:p>
        </w:tc>
      </w:tr>
      <w:tr w:rsidR="00873866" w14:paraId="5DBA2731" w14:textId="77777777" w:rsidTr="4E6D0C85">
        <w:trPr>
          <w:trHeight w:val="394"/>
        </w:trPr>
        <w:tc>
          <w:tcPr>
            <w:tcW w:w="3815" w:type="dxa"/>
          </w:tcPr>
          <w:p w14:paraId="19F29BF1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Docente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referente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del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 xml:space="preserve"> modulo</w:t>
            </w:r>
          </w:p>
        </w:tc>
        <w:tc>
          <w:tcPr>
            <w:tcW w:w="9313" w:type="dxa"/>
          </w:tcPr>
          <w:p w14:paraId="0B552D5E" w14:textId="7125207F" w:rsidR="00873866" w:rsidRDefault="00873866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</w:p>
        </w:tc>
      </w:tr>
      <w:tr w:rsidR="00873866" w14:paraId="68EC0517" w14:textId="77777777" w:rsidTr="4E6D0C85">
        <w:trPr>
          <w:trHeight w:val="394"/>
        </w:trPr>
        <w:tc>
          <w:tcPr>
            <w:tcW w:w="3815" w:type="dxa"/>
          </w:tcPr>
          <w:p w14:paraId="497E7DE8" w14:textId="77777777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  <w:spacing w:val="-4"/>
              </w:rPr>
              <w:t>Tutor</w:t>
            </w:r>
          </w:p>
        </w:tc>
        <w:tc>
          <w:tcPr>
            <w:tcW w:w="9313" w:type="dxa"/>
          </w:tcPr>
          <w:p w14:paraId="14B117D5" w14:textId="385CAC9C" w:rsidR="00873866" w:rsidRDefault="00873866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</w:p>
        </w:tc>
      </w:tr>
      <w:tr w:rsidR="00431C8B" w14:paraId="412CCD2E" w14:textId="77777777" w:rsidTr="4E6D0C85">
        <w:trPr>
          <w:trHeight w:val="634"/>
        </w:trPr>
        <w:tc>
          <w:tcPr>
            <w:tcW w:w="3815" w:type="dxa"/>
          </w:tcPr>
          <w:p w14:paraId="023272AE" w14:textId="6425C0A0" w:rsidR="00431C8B" w:rsidRDefault="00431C8B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Anno di erogazione</w:t>
            </w:r>
          </w:p>
        </w:tc>
        <w:tc>
          <w:tcPr>
            <w:tcW w:w="9313" w:type="dxa"/>
          </w:tcPr>
          <w:p w14:paraId="64663C86" w14:textId="3EF91A8E" w:rsidR="00431C8B" w:rsidRDefault="00CE23F9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1</w:t>
            </w:r>
          </w:p>
        </w:tc>
      </w:tr>
      <w:tr w:rsidR="00431C8B" w14:paraId="0ECE180D" w14:textId="77777777" w:rsidTr="4E6D0C85">
        <w:trPr>
          <w:trHeight w:val="634"/>
        </w:trPr>
        <w:tc>
          <w:tcPr>
            <w:tcW w:w="3815" w:type="dxa"/>
          </w:tcPr>
          <w:p w14:paraId="7E447BE9" w14:textId="48F5E8CA" w:rsidR="00431C8B" w:rsidRDefault="00431C8B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Semestre di erogazione</w:t>
            </w:r>
          </w:p>
        </w:tc>
        <w:tc>
          <w:tcPr>
            <w:tcW w:w="9313" w:type="dxa"/>
          </w:tcPr>
          <w:p w14:paraId="24529295" w14:textId="757C93DF" w:rsidR="00431C8B" w:rsidRDefault="00CE23F9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1</w:t>
            </w:r>
          </w:p>
        </w:tc>
      </w:tr>
      <w:tr w:rsidR="00873866" w14:paraId="6034334A" w14:textId="77777777" w:rsidTr="4E6D0C85">
        <w:trPr>
          <w:trHeight w:val="634"/>
        </w:trPr>
        <w:tc>
          <w:tcPr>
            <w:tcW w:w="3815" w:type="dxa"/>
          </w:tcPr>
          <w:p w14:paraId="418C44D5" w14:textId="2071728C" w:rsidR="00873866" w:rsidRDefault="1A922A99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dedicate alla Didattica Erogativa (TEL-DE – Registrazioni a distanza, fatte dal docente)</w:t>
            </w:r>
          </w:p>
        </w:tc>
        <w:tc>
          <w:tcPr>
            <w:tcW w:w="9313" w:type="dxa"/>
          </w:tcPr>
          <w:p w14:paraId="3D39746C" w14:textId="77777777" w:rsidR="00873866" w:rsidRDefault="7DF1E511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9</w:t>
            </w:r>
          </w:p>
        </w:tc>
      </w:tr>
      <w:tr w:rsidR="0F2561BC" w14:paraId="58D77409" w14:textId="77777777" w:rsidTr="4E6D0C85">
        <w:trPr>
          <w:trHeight w:val="300"/>
        </w:trPr>
        <w:tc>
          <w:tcPr>
            <w:tcW w:w="3815" w:type="dxa"/>
          </w:tcPr>
          <w:p w14:paraId="662CDD7F" w14:textId="2259D236" w:rsidR="0F2561BC" w:rsidRDefault="0F2561BC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in presenza (fatte dal docente)</w:t>
            </w:r>
          </w:p>
        </w:tc>
        <w:tc>
          <w:tcPr>
            <w:tcW w:w="9313" w:type="dxa"/>
          </w:tcPr>
          <w:p w14:paraId="7A77DFF4" w14:textId="700C8975" w:rsidR="0F2561BC" w:rsidRDefault="0F2561BC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873866" w14:paraId="16CFF5CE" w14:textId="77777777" w:rsidTr="4E6D0C85">
        <w:trPr>
          <w:trHeight w:val="634"/>
        </w:trPr>
        <w:tc>
          <w:tcPr>
            <w:tcW w:w="3815" w:type="dxa"/>
          </w:tcPr>
          <w:p w14:paraId="4DA098D7" w14:textId="0B76E1D6" w:rsidR="00873866" w:rsidRDefault="537DACD4" w:rsidP="0F2561BC">
            <w:pPr>
              <w:pStyle w:val="TableParagraph"/>
              <w:spacing w:before="76"/>
              <w:ind w:left="90" w:right="398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dedicate alla Didattica Interattiva (TEL-DI – E-</w:t>
            </w:r>
            <w:proofErr w:type="spellStart"/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tivity</w:t>
            </w:r>
            <w:proofErr w:type="spellEnd"/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: interattive, a distanza, gestite dal docente o dal tutor)</w:t>
            </w:r>
          </w:p>
        </w:tc>
        <w:tc>
          <w:tcPr>
            <w:tcW w:w="9313" w:type="dxa"/>
          </w:tcPr>
          <w:p w14:paraId="25144CB8" w14:textId="4B2C1750" w:rsidR="00873866" w:rsidRDefault="1A787750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5124FA53" w14:paraId="7B709A1E" w14:textId="77777777" w:rsidTr="4E6D0C85">
        <w:trPr>
          <w:trHeight w:val="300"/>
        </w:trPr>
        <w:tc>
          <w:tcPr>
            <w:tcW w:w="3815" w:type="dxa"/>
          </w:tcPr>
          <w:p w14:paraId="6F181FBC" w14:textId="37086078" w:rsidR="5124FA53" w:rsidRDefault="5124FA53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di aula virtuale (Incontri sincroni online per feedback e supporto orientativo agli studenti, gestit</w:t>
            </w:r>
            <w:r w:rsidR="4C7A67DF"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dal docente o dal tutor)</w:t>
            </w:r>
          </w:p>
        </w:tc>
        <w:tc>
          <w:tcPr>
            <w:tcW w:w="9313" w:type="dxa"/>
          </w:tcPr>
          <w:p w14:paraId="287F5F8F" w14:textId="63ABF2C4" w:rsidR="2DF7E0FD" w:rsidRDefault="2DF7E0FD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5124FA53" w14:paraId="6A36812F" w14:textId="77777777" w:rsidTr="4E6D0C85">
        <w:trPr>
          <w:trHeight w:val="300"/>
        </w:trPr>
        <w:tc>
          <w:tcPr>
            <w:tcW w:w="3815" w:type="dxa"/>
          </w:tcPr>
          <w:p w14:paraId="515CCB5D" w14:textId="57BC1B35" w:rsidR="5124FA53" w:rsidRDefault="5124FA53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di tutoraggio individuale (g</w:t>
            </w:r>
            <w:r w:rsidR="660EAE37"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estite dal docente o dal tutor)</w:t>
            </w:r>
          </w:p>
        </w:tc>
        <w:tc>
          <w:tcPr>
            <w:tcW w:w="9313" w:type="dxa"/>
          </w:tcPr>
          <w:p w14:paraId="3203E2DA" w14:textId="5598E627" w:rsidR="48BF0CD8" w:rsidRDefault="48BF0CD8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873866" w14:paraId="104DD5DA" w14:textId="77777777" w:rsidTr="4E6D0C85">
        <w:trPr>
          <w:trHeight w:val="2554"/>
        </w:trPr>
        <w:tc>
          <w:tcPr>
            <w:tcW w:w="3815" w:type="dxa"/>
          </w:tcPr>
          <w:p w14:paraId="431593D6" w14:textId="77777777" w:rsidR="00873866" w:rsidRDefault="004112CE" w:rsidP="0F2561BC">
            <w:pPr>
              <w:pStyle w:val="TableParagraph"/>
              <w:spacing w:before="75" w:line="276" w:lineRule="auto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Obiettivi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formativi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competenze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 xml:space="preserve">in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uscita</w:t>
            </w:r>
          </w:p>
        </w:tc>
        <w:tc>
          <w:tcPr>
            <w:tcW w:w="9313" w:type="dxa"/>
          </w:tcPr>
          <w:p w14:paraId="109831F6" w14:textId="77777777" w:rsidR="00795F95" w:rsidRDefault="00647D7C" w:rsidP="00647D7C">
            <w:pPr>
              <w:pStyle w:val="TableParagraph"/>
              <w:spacing w:before="11"/>
              <w:ind w:left="576" w:hanging="283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Al termine del modulo, </w:t>
            </w:r>
            <w:r w:rsidR="00795F95">
              <w:rPr>
                <w:rFonts w:asciiTheme="minorHAnsi" w:eastAsiaTheme="minorEastAsia" w:hAnsiTheme="minorHAnsi" w:cstheme="minorBidi"/>
              </w:rPr>
              <w:t>gli studenti saranno in grado di:</w:t>
            </w:r>
          </w:p>
          <w:p w14:paraId="565EF074" w14:textId="08DB0393" w:rsidR="00707264" w:rsidRDefault="00707264" w:rsidP="009E5E8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c</w:t>
            </w:r>
            <w:r w:rsidRPr="00707264">
              <w:rPr>
                <w:rFonts w:asciiTheme="minorHAnsi" w:eastAsiaTheme="minorEastAsia" w:hAnsiTheme="minorHAnsi" w:cstheme="minorBidi"/>
                <w:i/>
                <w:iCs/>
              </w:rPr>
              <w:t>omprendere i principi della Lean Manufacturing e la loro evoluzione storica</w:t>
            </w:r>
          </w:p>
          <w:p w14:paraId="2B1FBD48" w14:textId="4F22E5E9" w:rsidR="00707264" w:rsidRDefault="00707264" w:rsidP="009E5E8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i</w:t>
            </w:r>
            <w:r w:rsidRPr="00707264">
              <w:rPr>
                <w:rFonts w:asciiTheme="minorHAnsi" w:eastAsiaTheme="minorEastAsia" w:hAnsiTheme="minorHAnsi" w:cstheme="minorBidi"/>
                <w:i/>
                <w:iCs/>
              </w:rPr>
              <w:t>dentificare e classificare gli sprechi nei processi produttivi e transazionali</w:t>
            </w:r>
          </w:p>
          <w:p w14:paraId="7E2D4B2E" w14:textId="5C811622" w:rsidR="00707264" w:rsidRDefault="00707264" w:rsidP="009E5E8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a</w:t>
            </w:r>
            <w:r w:rsidRPr="00707264">
              <w:rPr>
                <w:rFonts w:asciiTheme="minorHAnsi" w:eastAsiaTheme="minorEastAsia" w:hAnsiTheme="minorHAnsi" w:cstheme="minorBidi"/>
                <w:i/>
                <w:iCs/>
              </w:rPr>
              <w:t xml:space="preserve">pplicare tecniche di mappatura del flusso di valore </w:t>
            </w:r>
          </w:p>
          <w:p w14:paraId="1535381C" w14:textId="77777777" w:rsidR="000A6E15" w:rsidRDefault="009E5E88" w:rsidP="009E5E8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B0043F">
              <w:rPr>
                <w:rFonts w:asciiTheme="minorHAnsi" w:eastAsiaTheme="minorEastAsia" w:hAnsiTheme="minorHAnsi" w:cstheme="minorBidi"/>
                <w:i/>
                <w:iCs/>
              </w:rPr>
              <w:t xml:space="preserve">valutare in maniera critica un sistema 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>della PA</w:t>
            </w:r>
          </w:p>
          <w:p w14:paraId="2FE3FC95" w14:textId="5827B03F" w:rsidR="004B740F" w:rsidRDefault="004B740F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i</w:t>
            </w:r>
            <w:r w:rsidRPr="004B740F">
              <w:rPr>
                <w:rFonts w:asciiTheme="minorHAnsi" w:eastAsiaTheme="minorEastAsia" w:hAnsiTheme="minorHAnsi" w:cstheme="minorBidi"/>
                <w:i/>
                <w:iCs/>
              </w:rPr>
              <w:t>mplementare la metodologia 5S</w:t>
            </w:r>
          </w:p>
          <w:p w14:paraId="3DF3D273" w14:textId="7EA375A8" w:rsidR="00B42A83" w:rsidRPr="00B42A83" w:rsidRDefault="00B42A83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B42A83">
              <w:rPr>
                <w:rFonts w:asciiTheme="minorHAnsi" w:eastAsiaTheme="minorEastAsia" w:hAnsiTheme="minorHAnsi" w:cstheme="minorBidi"/>
                <w:i/>
                <w:iCs/>
              </w:rPr>
              <w:t>comprendere i nuovi indirizzi della ISO 9001:2015</w:t>
            </w:r>
          </w:p>
          <w:p w14:paraId="085D10EE" w14:textId="173830B9" w:rsidR="00B42A83" w:rsidRDefault="00B42A83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a</w:t>
            </w:r>
            <w:r w:rsidRPr="00B42A83">
              <w:rPr>
                <w:rFonts w:asciiTheme="minorHAnsi" w:eastAsiaTheme="minorEastAsia" w:hAnsiTheme="minorHAnsi" w:cstheme="minorBidi"/>
                <w:i/>
                <w:iCs/>
              </w:rPr>
              <w:t>pplicare il metodo PDCA</w:t>
            </w:r>
          </w:p>
          <w:p w14:paraId="7FAE1445" w14:textId="21C6D0FE" w:rsidR="00B42A83" w:rsidRDefault="00B42A83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misurare e comunicare le performance qualitative </w:t>
            </w:r>
            <w:r w:rsidR="000112A8">
              <w:rPr>
                <w:rFonts w:asciiTheme="minorHAnsi" w:eastAsiaTheme="minorEastAsia" w:hAnsiTheme="minorHAnsi" w:cstheme="minorBidi"/>
                <w:i/>
                <w:iCs/>
              </w:rPr>
              <w:t>inerenti alla qualità</w:t>
            </w:r>
          </w:p>
          <w:p w14:paraId="2A31D144" w14:textId="5FE5A7A3" w:rsidR="000A6E15" w:rsidRDefault="000A6E15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0D2011">
              <w:rPr>
                <w:rFonts w:asciiTheme="minorHAnsi" w:eastAsiaTheme="minorEastAsia" w:hAnsiTheme="minorHAnsi" w:cstheme="minorBidi"/>
                <w:i/>
                <w:iCs/>
              </w:rPr>
              <w:t xml:space="preserve">acquisire il lessico specifico inerente </w:t>
            </w:r>
            <w:proofErr w:type="gramStart"/>
            <w:r w:rsidRPr="000D2011">
              <w:rPr>
                <w:rFonts w:asciiTheme="minorHAnsi" w:eastAsiaTheme="minorEastAsia" w:hAnsiTheme="minorHAnsi" w:cstheme="minorBidi"/>
                <w:i/>
                <w:iCs/>
              </w:rPr>
              <w:t>la</w:t>
            </w:r>
            <w:proofErr w:type="gramEnd"/>
            <w:r w:rsidRPr="000D2011">
              <w:rPr>
                <w:rFonts w:asciiTheme="minorHAnsi" w:eastAsiaTheme="minorEastAsia" w:hAnsiTheme="minorHAnsi" w:cstheme="minorBidi"/>
                <w:i/>
                <w:iCs/>
              </w:rPr>
              <w:t xml:space="preserve"> gestione della qualità e la metodologia </w:t>
            </w:r>
            <w:proofErr w:type="spellStart"/>
            <w:r w:rsidRPr="000D2011">
              <w:rPr>
                <w:rFonts w:asciiTheme="minorHAnsi" w:eastAsiaTheme="minorEastAsia" w:hAnsiTheme="minorHAnsi" w:cstheme="minorBidi"/>
                <w:i/>
                <w:iCs/>
              </w:rPr>
              <w:t>lean</w:t>
            </w:r>
            <w:proofErr w:type="spellEnd"/>
          </w:p>
          <w:p w14:paraId="107E5AAE" w14:textId="77777777" w:rsidR="000A6E15" w:rsidRDefault="000A6E15" w:rsidP="000A6E1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0D2011">
              <w:rPr>
                <w:rFonts w:asciiTheme="minorHAnsi" w:eastAsiaTheme="minorEastAsia" w:hAnsiTheme="minorHAnsi" w:cstheme="minorBidi"/>
                <w:i/>
                <w:iCs/>
              </w:rPr>
              <w:t>trasmettere, in forma orale e in forma scritta, i principali contenuti del corso</w:t>
            </w:r>
          </w:p>
          <w:p w14:paraId="5B524226" w14:textId="77777777" w:rsidR="00F602B4" w:rsidRPr="00F602B4" w:rsidRDefault="00F602B4" w:rsidP="00F602B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s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elezionare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in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autonomia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i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riferimenti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bibliografici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per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la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redazione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di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un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</w:rPr>
              <w:t>project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4"/>
              </w:rPr>
              <w:t>work</w:t>
            </w:r>
          </w:p>
          <w:p w14:paraId="6F15ADEC" w14:textId="18CF1480" w:rsidR="00F602B4" w:rsidRPr="00795F95" w:rsidRDefault="00F602B4" w:rsidP="00F602B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2F2D42">
              <w:rPr>
                <w:rFonts w:asciiTheme="minorHAnsi" w:eastAsiaTheme="minorEastAsia" w:hAnsiTheme="minorHAnsi" w:cstheme="minorBidi"/>
                <w:i/>
                <w:iCs/>
              </w:rPr>
              <w:t xml:space="preserve">approfondire le proprie conoscenze in materia di progettazione dei sistemi 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della PA </w:t>
            </w:r>
            <w:r w:rsidRPr="002F2D42">
              <w:rPr>
                <w:rFonts w:asciiTheme="minorHAnsi" w:eastAsiaTheme="minorEastAsia" w:hAnsiTheme="minorHAnsi" w:cstheme="minorBidi"/>
                <w:i/>
                <w:iCs/>
              </w:rPr>
              <w:t>snelli che assicurino e controllino la qualità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 e impieghino strumenti di </w:t>
            </w:r>
            <w:r w:rsidRPr="002F2D42">
              <w:rPr>
                <w:rFonts w:asciiTheme="minorHAnsi" w:eastAsiaTheme="minorEastAsia" w:hAnsiTheme="minorHAnsi" w:cstheme="minorBidi"/>
                <w:i/>
                <w:iCs/>
              </w:rPr>
              <w:t>visual management</w:t>
            </w:r>
          </w:p>
          <w:p w14:paraId="22F79CFA" w14:textId="6C4B939B" w:rsidR="00873866" w:rsidRPr="00F602B4" w:rsidRDefault="009E5E88" w:rsidP="00F602B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B0043F">
              <w:rPr>
                <w:rFonts w:asciiTheme="minorHAnsi" w:eastAsiaTheme="minorEastAsia" w:hAnsiTheme="minorHAnsi" w:cstheme="minorBidi"/>
                <w:i/>
                <w:iCs/>
              </w:rPr>
              <w:t xml:space="preserve">progettare, 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definire </w:t>
            </w:r>
            <w:r w:rsidRPr="00B0043F">
              <w:rPr>
                <w:rFonts w:asciiTheme="minorHAnsi" w:eastAsiaTheme="minorEastAsia" w:hAnsiTheme="minorHAnsi" w:cstheme="minorBidi"/>
                <w:i/>
                <w:iCs/>
              </w:rPr>
              <w:t xml:space="preserve">e realizzare un sistema </w:t>
            </w:r>
            <w:r w:rsidR="000A6E15">
              <w:rPr>
                <w:rFonts w:asciiTheme="minorHAnsi" w:eastAsiaTheme="minorEastAsia" w:hAnsiTheme="minorHAnsi" w:cstheme="minorBidi"/>
                <w:i/>
                <w:iCs/>
              </w:rPr>
              <w:t xml:space="preserve">della 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PA </w:t>
            </w:r>
            <w:r w:rsidRPr="00B0043F">
              <w:rPr>
                <w:rFonts w:asciiTheme="minorHAnsi" w:eastAsiaTheme="minorEastAsia" w:hAnsiTheme="minorHAnsi" w:cstheme="minorBidi"/>
                <w:i/>
                <w:iCs/>
              </w:rPr>
              <w:t>snello che assicuri e controlli la qualità</w:t>
            </w:r>
          </w:p>
        </w:tc>
      </w:tr>
      <w:tr w:rsidR="00873866" w14:paraId="13F7E9DF" w14:textId="77777777" w:rsidTr="4E6D0C85">
        <w:trPr>
          <w:trHeight w:val="634"/>
        </w:trPr>
        <w:tc>
          <w:tcPr>
            <w:tcW w:w="3815" w:type="dxa"/>
          </w:tcPr>
          <w:p w14:paraId="1511B40F" w14:textId="77777777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Argomenti</w:t>
            </w:r>
            <w:r w:rsidRPr="0F2561BC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del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</w:p>
        </w:tc>
        <w:tc>
          <w:tcPr>
            <w:tcW w:w="9313" w:type="dxa"/>
          </w:tcPr>
          <w:p w14:paraId="6652127C" w14:textId="77777777" w:rsidR="00130469" w:rsidRPr="00E071D8" w:rsidRDefault="000200D7" w:rsidP="00E329AB">
            <w:pPr>
              <w:pStyle w:val="TableParagraph"/>
              <w:spacing w:before="75"/>
              <w:ind w:left="576" w:right="181" w:hanging="283"/>
              <w:rPr>
                <w:rFonts w:asciiTheme="minorHAnsi" w:eastAsiaTheme="minorEastAsia" w:hAnsiTheme="minorHAnsi" w:cstheme="minorBidi"/>
              </w:rPr>
            </w:pPr>
            <w:r w:rsidRPr="00E071D8">
              <w:rPr>
                <w:rFonts w:asciiTheme="minorHAnsi" w:eastAsiaTheme="minorEastAsia" w:hAnsiTheme="minorHAnsi" w:cstheme="minorBidi"/>
              </w:rPr>
              <w:t>Il modulo didattico si concentra sui principi fondamentali della Lean Manufacturing e della gestione della qualità nei processi della PA.</w:t>
            </w:r>
          </w:p>
          <w:p w14:paraId="50141958" w14:textId="77777777" w:rsidR="00130469" w:rsidRPr="00130469" w:rsidRDefault="00130469" w:rsidP="00130469">
            <w:pPr>
              <w:pStyle w:val="TableParagraph"/>
              <w:spacing w:before="75"/>
              <w:ind w:left="576" w:right="181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1: LEAN</w:t>
            </w:r>
          </w:p>
          <w:p w14:paraId="2E1D1F69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Introduzione alla Lean Manufacturing e inquadramento storico</w:t>
            </w:r>
          </w:p>
          <w:p w14:paraId="2E4ABBD6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Il Lean Thinking: valore, classificazione degli sprechi (Muda, Muri, Mura), i 5 pilastri, i 7 (+1) sprechi</w:t>
            </w:r>
          </w:p>
          <w:p w14:paraId="0414DF88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Lean Thinking: un esempio pratico</w:t>
            </w:r>
          </w:p>
          <w:p w14:paraId="2FD00F44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Identificazione delle perdite</w:t>
            </w:r>
          </w:p>
          <w:p w14:paraId="5BE679A5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Tecniche per la mappatura del flusso di valore</w:t>
            </w:r>
          </w:p>
          <w:p w14:paraId="33D595E5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Lean Office: sprechi nei processi transazionali e mappatura del flusso del servizio</w:t>
            </w:r>
          </w:p>
          <w:p w14:paraId="23E43BB3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Lean Office: un esempio pratico</w:t>
            </w:r>
          </w:p>
          <w:p w14:paraId="05D2FCC6" w14:textId="77777777" w:rsidR="00130469" w:rsidRPr="00130469" w:rsidRDefault="00130469" w:rsidP="00130469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La metodologia 5S</w:t>
            </w:r>
          </w:p>
          <w:p w14:paraId="0A37FAFE" w14:textId="77777777" w:rsidR="00130469" w:rsidRPr="00130469" w:rsidRDefault="00130469" w:rsidP="00130469">
            <w:pPr>
              <w:pStyle w:val="TableParagraph"/>
              <w:spacing w:before="75"/>
              <w:ind w:left="576" w:right="181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2: QUALITÀ</w:t>
            </w:r>
          </w:p>
          <w:p w14:paraId="20A4AB8E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Vivere la qualità</w:t>
            </w:r>
          </w:p>
          <w:p w14:paraId="685632C9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I nuovi indirizzi della ISO 9001:2015</w:t>
            </w:r>
          </w:p>
          <w:p w14:paraId="4DE73ECE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L’ottica di sistema</w:t>
            </w:r>
          </w:p>
          <w:p w14:paraId="3B61535B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Lavorare per processi</w:t>
            </w:r>
          </w:p>
          <w:p w14:paraId="1FC7A0D4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Il metodo PDCA</w:t>
            </w:r>
          </w:p>
          <w:p w14:paraId="4871A587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lastRenderedPageBreak/>
              <w:t>L’impegno a misurare</w:t>
            </w:r>
          </w:p>
          <w:p w14:paraId="4AE814F1" w14:textId="77777777" w:rsidR="00130469" w:rsidRPr="00130469" w:rsidRDefault="00130469" w:rsidP="00130469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Comunicare nelle relazioni</w:t>
            </w:r>
          </w:p>
          <w:p w14:paraId="63356F33" w14:textId="6B785DFB" w:rsidR="00873866" w:rsidRPr="00F62040" w:rsidRDefault="00130469" w:rsidP="00F62040">
            <w:pPr>
              <w:pStyle w:val="TableParagraph"/>
              <w:numPr>
                <w:ilvl w:val="0"/>
                <w:numId w:val="4"/>
              </w:numPr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30469">
              <w:rPr>
                <w:rFonts w:asciiTheme="minorHAnsi" w:eastAsiaTheme="minorEastAsia" w:hAnsiTheme="minorHAnsi" w:cstheme="minorBidi"/>
                <w:i/>
                <w:iCs/>
              </w:rPr>
              <w:t>Scrivere per comunicare</w:t>
            </w:r>
          </w:p>
        </w:tc>
      </w:tr>
      <w:tr w:rsidR="00873866" w14:paraId="048A34BF" w14:textId="77777777" w:rsidTr="4E6D0C85">
        <w:trPr>
          <w:trHeight w:val="874"/>
        </w:trPr>
        <w:tc>
          <w:tcPr>
            <w:tcW w:w="3815" w:type="dxa"/>
          </w:tcPr>
          <w:p w14:paraId="28D3CA88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lastRenderedPageBreak/>
              <w:t>Metodi</w:t>
            </w:r>
            <w:r w:rsidRPr="0F2561BC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approcci</w:t>
            </w:r>
            <w:r w:rsidRPr="0F2561BC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didattici</w:t>
            </w:r>
          </w:p>
        </w:tc>
        <w:tc>
          <w:tcPr>
            <w:tcW w:w="9313" w:type="dxa"/>
          </w:tcPr>
          <w:p w14:paraId="600D97EC" w14:textId="2A74AD52" w:rsidR="00873866" w:rsidRPr="00F62040" w:rsidRDefault="00FD2D84" w:rsidP="000A2CE3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0F62040">
              <w:rPr>
                <w:rFonts w:asciiTheme="minorHAnsi" w:eastAsiaTheme="minorEastAsia" w:hAnsiTheme="minorHAnsi" w:cstheme="minorBidi"/>
              </w:rPr>
              <w:t xml:space="preserve">Il modulo utilizzerà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principalmente </w:t>
            </w:r>
            <w:r w:rsidR="004112CE" w:rsidRPr="00F62040">
              <w:rPr>
                <w:rFonts w:asciiTheme="minorHAnsi" w:eastAsiaTheme="minorEastAsia" w:hAnsiTheme="minorHAnsi" w:cstheme="minorBidi"/>
              </w:rPr>
              <w:t>lezion</w:t>
            </w:r>
            <w:r w:rsidR="00EA0A82" w:rsidRPr="00F62040">
              <w:rPr>
                <w:rFonts w:asciiTheme="minorHAnsi" w:eastAsiaTheme="minorEastAsia" w:hAnsiTheme="minorHAnsi" w:cstheme="minorBidi"/>
              </w:rPr>
              <w:t>i</w:t>
            </w:r>
            <w:r w:rsidR="004112CE" w:rsidRPr="00F62040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="004112CE" w:rsidRPr="00F62040">
              <w:rPr>
                <w:rFonts w:asciiTheme="minorHAnsi" w:eastAsiaTheme="minorEastAsia" w:hAnsiTheme="minorHAnsi" w:cstheme="minorBidi"/>
              </w:rPr>
              <w:t>frontal</w:t>
            </w:r>
            <w:r w:rsidR="00EA0A82" w:rsidRPr="00F62040">
              <w:rPr>
                <w:rFonts w:asciiTheme="minorHAnsi" w:eastAsiaTheme="minorEastAsia" w:hAnsiTheme="minorHAnsi" w:cstheme="minorBidi"/>
              </w:rPr>
              <w:t xml:space="preserve">i </w:t>
            </w:r>
            <w:r w:rsidR="007E2DF7" w:rsidRPr="00F62040">
              <w:rPr>
                <w:rFonts w:asciiTheme="minorHAnsi" w:eastAsiaTheme="minorEastAsia" w:hAnsiTheme="minorHAnsi" w:cstheme="minorBidi"/>
              </w:rPr>
              <w:t xml:space="preserve">supportate da presentazioni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o dalla lavagna digitale ed </w:t>
            </w:r>
            <w:r w:rsidR="00196947" w:rsidRPr="00F62040">
              <w:rPr>
                <w:rFonts w:asciiTheme="minorHAnsi" w:eastAsiaTheme="minorEastAsia" w:hAnsiTheme="minorHAnsi" w:cstheme="minorBidi"/>
              </w:rPr>
              <w:t xml:space="preserve">erogate in modalità 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online </w:t>
            </w:r>
            <w:r w:rsidR="00196947" w:rsidRPr="00F62040">
              <w:rPr>
                <w:rFonts w:asciiTheme="minorHAnsi" w:eastAsiaTheme="minorEastAsia" w:hAnsiTheme="minorHAnsi" w:cstheme="minorBidi"/>
              </w:rPr>
              <w:t>asincrona.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 Una parte minoritaria delle lezioni online sarà dedicata ad e-</w:t>
            </w:r>
            <w:proofErr w:type="spellStart"/>
            <w:r w:rsidR="009C7E33" w:rsidRPr="00F62040">
              <w:rPr>
                <w:rFonts w:asciiTheme="minorHAnsi" w:eastAsiaTheme="minorEastAsia" w:hAnsiTheme="minorHAnsi" w:cstheme="minorBidi"/>
              </w:rPr>
              <w:t>tivities</w:t>
            </w:r>
            <w:proofErr w:type="spellEnd"/>
            <w:r w:rsidR="009C7E33" w:rsidRPr="00F62040">
              <w:rPr>
                <w:rFonts w:asciiTheme="minorHAnsi" w:eastAsiaTheme="minorEastAsia" w:hAnsiTheme="minorHAnsi" w:cstheme="minorBidi"/>
              </w:rPr>
              <w:t xml:space="preserve">.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Le lezioni in presenza 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utilizzeranno invece l’analisi di casi di studio </w:t>
            </w:r>
            <w:r w:rsidR="000A2CE3" w:rsidRPr="00F62040">
              <w:rPr>
                <w:rFonts w:asciiTheme="minorHAnsi" w:eastAsiaTheme="minorEastAsia" w:hAnsiTheme="minorHAnsi" w:cstheme="minorBidi"/>
              </w:rPr>
              <w:t xml:space="preserve">e l’assegnazione di project works 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basati sulle specifiche </w:t>
            </w:r>
            <w:r w:rsidR="000A2CE3" w:rsidRPr="00F62040">
              <w:rPr>
                <w:rFonts w:asciiTheme="minorHAnsi" w:eastAsiaTheme="minorEastAsia" w:hAnsiTheme="minorHAnsi" w:cstheme="minorBidi"/>
              </w:rPr>
              <w:t>esperienze e sui contesti propri delle organizzazioni nelle quali lavorano o hanno lavorato, o che comunque conoscono i discenti.</w:t>
            </w:r>
          </w:p>
        </w:tc>
      </w:tr>
      <w:tr w:rsidR="00873866" w14:paraId="61A7F7F3" w14:textId="77777777" w:rsidTr="4E6D0C85">
        <w:trPr>
          <w:trHeight w:val="5914"/>
        </w:trPr>
        <w:tc>
          <w:tcPr>
            <w:tcW w:w="3815" w:type="dxa"/>
          </w:tcPr>
          <w:p w14:paraId="4516281A" w14:textId="3FD1708A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 xml:space="preserve">Struttura del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  <w:r w:rsidR="00431C8B" w:rsidRPr="0F2561BC">
              <w:rPr>
                <w:rFonts w:asciiTheme="minorHAnsi" w:eastAsiaTheme="minorEastAsia" w:hAnsiTheme="minorHAnsi" w:cstheme="minorBidi"/>
                <w:spacing w:val="-2"/>
              </w:rPr>
              <w:t xml:space="preserve"> con indicazione delle ore per ciascuna attività</w:t>
            </w:r>
          </w:p>
        </w:tc>
        <w:tc>
          <w:tcPr>
            <w:tcW w:w="9313" w:type="dxa"/>
          </w:tcPr>
          <w:p w14:paraId="5FE4486E" w14:textId="77777777" w:rsidR="00873866" w:rsidRDefault="00873866" w:rsidP="00647D7C">
            <w:pPr>
              <w:pStyle w:val="TableParagraph"/>
              <w:spacing w:before="10"/>
              <w:ind w:left="576" w:hanging="283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53BB8F08" w14:textId="6A9911B8" w:rsidR="00873866" w:rsidRDefault="004112CE" w:rsidP="00647D7C">
            <w:pPr>
              <w:pStyle w:val="TableParagraph"/>
              <w:spacing w:before="1"/>
              <w:ind w:left="576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</w:pPr>
            <w:r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 xml:space="preserve">Sezione </w:t>
            </w:r>
            <w:r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  <w:t>1</w:t>
            </w:r>
            <w:r w:rsidR="33E80F21"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  <w:t xml:space="preserve"> </w:t>
            </w:r>
            <w:r w:rsidR="00C061FB"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  <w:t>– Lean management</w:t>
            </w:r>
          </w:p>
          <w:p w14:paraId="7BAC0CD2" w14:textId="77777777" w:rsidR="00671F4B" w:rsidRPr="00433B86" w:rsidRDefault="00671F4B" w:rsidP="00647D7C">
            <w:pPr>
              <w:pStyle w:val="TableParagraph"/>
              <w:spacing w:before="1"/>
              <w:ind w:left="576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</w:p>
          <w:p w14:paraId="176536CD" w14:textId="3A004559" w:rsidR="00A96F52" w:rsidRPr="00A96F52" w:rsidRDefault="00A96F52" w:rsidP="4E6D0C85">
            <w:pPr>
              <w:pStyle w:val="TableParagraph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La sezione introduce i principi del </w:t>
            </w:r>
            <w:proofErr w:type="spellStart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lean</w:t>
            </w:r>
            <w:proofErr w:type="spellEnd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management, a partire dall’inquadramento storico e dai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concetti fondamentali del </w:t>
            </w:r>
            <w:proofErr w:type="spellStart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lean</w:t>
            </w:r>
            <w:proofErr w:type="spellEnd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thinking, come valore, sprechi e pilastri del modello. Vengono approfonditi i principali strumenti operativi, tra cui l’identificazione delle perdite, la mappatura del flusso di valore (VSM) e la metodologia 5S. Attraverso esempi pratici, in particolare nel contesto del </w:t>
            </w:r>
            <w:proofErr w:type="spellStart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lean</w:t>
            </w:r>
            <w:proofErr w:type="spellEnd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office, e attività applicative (simulazioni e produzione di elaborati), gli studenti sono guidati nell’analisi e nel miglioramento dei processi organizzativi.</w:t>
            </w:r>
          </w:p>
          <w:p w14:paraId="4D2E80F3" w14:textId="77777777" w:rsidR="00A96F52" w:rsidRDefault="00A96F52" w:rsidP="00A96F52">
            <w:pPr>
              <w:pStyle w:val="TableParagraph"/>
              <w:ind w:right="209"/>
              <w:rPr>
                <w:rFonts w:asciiTheme="minorHAnsi" w:eastAsiaTheme="minorEastAsia" w:hAnsiTheme="minorHAnsi" w:cstheme="minorBidi"/>
                <w:i/>
                <w:iCs/>
                <w:highlight w:val="green"/>
              </w:rPr>
            </w:pPr>
          </w:p>
          <w:p w14:paraId="1B335037" w14:textId="534D1B60" w:rsidR="00A96F52" w:rsidRDefault="1CB5711F" w:rsidP="4E6D0C85">
            <w:pPr>
              <w:pStyle w:val="TableParagraph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7CE7BF81" w14:textId="77777777" w:rsidR="00A96F52" w:rsidRDefault="00A96F52" w:rsidP="4E6D0C85">
            <w:pPr>
              <w:pStyle w:val="TableParagraph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36346C7B" w14:textId="79992FB3" w:rsidR="009E0195" w:rsidRDefault="0473CC44" w:rsidP="00A96F52">
            <w:pPr>
              <w:pStyle w:val="TableParagraph"/>
              <w:spacing w:before="1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02CA0357" w14:textId="77777777" w:rsidR="00A96F52" w:rsidRDefault="00A96F52" w:rsidP="00A96F52">
            <w:pPr>
              <w:pStyle w:val="TableParagraph"/>
              <w:spacing w:before="1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447A403" w14:textId="77777777" w:rsidR="00D3281B" w:rsidRDefault="00D3281B" w:rsidP="00657138">
            <w:pPr>
              <w:pStyle w:val="TableParagraph"/>
              <w:spacing w:before="1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</w:pPr>
          </w:p>
          <w:p w14:paraId="22B60B67" w14:textId="1187BCF0" w:rsidR="008F370F" w:rsidRDefault="008F370F" w:rsidP="008F370F">
            <w:pPr>
              <w:pStyle w:val="TableParagraph"/>
              <w:spacing w:before="1"/>
              <w:ind w:left="576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</w:pPr>
            <w:r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 xml:space="preserve">Sezione </w:t>
            </w:r>
            <w:r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  <w:t>2 – Qualit</w:t>
            </w:r>
            <w:r w:rsidR="00433B86" w:rsidRPr="00433B86">
              <w:rPr>
                <w:rFonts w:asciiTheme="minorHAnsi" w:eastAsiaTheme="minorEastAsia" w:hAnsiTheme="minorHAnsi" w:cstheme="minorBidi"/>
                <w:b/>
                <w:bCs/>
                <w:i/>
                <w:iCs/>
                <w:spacing w:val="-10"/>
              </w:rPr>
              <w:t>à</w:t>
            </w:r>
          </w:p>
          <w:p w14:paraId="0080432D" w14:textId="77777777" w:rsidR="00A96F52" w:rsidRPr="00433B86" w:rsidRDefault="00A96F52" w:rsidP="008F370F">
            <w:pPr>
              <w:pStyle w:val="TableParagraph"/>
              <w:spacing w:before="1"/>
              <w:ind w:left="576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</w:p>
          <w:p w14:paraId="615BBBDF" w14:textId="2E1FD50E" w:rsidR="4E6D0C85" w:rsidRDefault="00A96F52" w:rsidP="4E6D0C85">
            <w:pPr>
              <w:pStyle w:val="TableParagraph"/>
              <w:spacing w:before="1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Questa sezione affronta il tema della qualità in una prospettiva sistemica, introducendo i principali concetti e approcci per la gestione e il miglioramento continuo. Vengono trattati il lavoro per processi, il ciclo PDCA e le modalità di misurazione e comunicazione delle performance. La sezione include anche un’introduzione ai metodi statistici per il controllo della qualità e si conclude con un’attività di autovalutazione per verificare le conoscenze acquisite.</w:t>
            </w:r>
          </w:p>
          <w:p w14:paraId="59441D33" w14:textId="77777777" w:rsidR="00A96F52" w:rsidRDefault="00A96F52" w:rsidP="4E6D0C85">
            <w:pPr>
              <w:pStyle w:val="TableParagraph"/>
              <w:spacing w:before="1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7BEC986" w14:textId="671FB8F8" w:rsidR="15696544" w:rsidRDefault="15696544" w:rsidP="4E6D0C85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E</w:t>
            </w:r>
            <w:r w:rsidR="396B833F" w:rsidRPr="4E6D0C85">
              <w:rPr>
                <w:rFonts w:asciiTheme="minorHAnsi" w:eastAsiaTheme="minorEastAsia" w:hAnsiTheme="minorHAnsi" w:cstheme="minorBidi"/>
                <w:i/>
                <w:iCs/>
              </w:rPr>
              <w:t>-</w:t>
            </w:r>
            <w:proofErr w:type="spellStart"/>
            <w:r w:rsidR="396B833F" w:rsidRPr="4E6D0C85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="396B833F"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59618829" w14:textId="77777777" w:rsidR="00873866" w:rsidRDefault="00873866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295C3A1A" w14:textId="77777777" w:rsidR="00671F4B" w:rsidRDefault="00671F4B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54DAC">
              <w:rPr>
                <w:rFonts w:asciiTheme="minorHAnsi" w:eastAsiaTheme="minorEastAsia" w:hAnsiTheme="minorHAnsi" w:cstheme="minorBidi"/>
                <w:i/>
                <w:iCs/>
              </w:rPr>
              <w:t>Attività in presenza: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 6 ore nella seconda parte del semestre</w:t>
            </w:r>
          </w:p>
          <w:p w14:paraId="3F5BB661" w14:textId="77777777" w:rsidR="00671F4B" w:rsidRDefault="00671F4B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68A4DB0D" w14:textId="46F074D6" w:rsidR="00671F4B" w:rsidRDefault="00671F4B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71F4B">
              <w:rPr>
                <w:rFonts w:asciiTheme="minorHAnsi" w:eastAsiaTheme="minorEastAsia" w:hAnsiTheme="minorHAnsi" w:cstheme="minorBidi"/>
                <w:i/>
                <w:iCs/>
                <w:highlight w:val="lightGray"/>
              </w:rPr>
              <w:t xml:space="preserve">Virtual </w:t>
            </w:r>
            <w:proofErr w:type="spellStart"/>
            <w:r w:rsidRPr="00671F4B">
              <w:rPr>
                <w:rFonts w:asciiTheme="minorHAnsi" w:eastAsiaTheme="minorEastAsia" w:hAnsiTheme="minorHAnsi" w:cstheme="minorBidi"/>
                <w:i/>
                <w:iCs/>
                <w:highlight w:val="lightGray"/>
              </w:rPr>
              <w:t>Classroom</w:t>
            </w:r>
            <w:proofErr w:type="spellEnd"/>
            <w:r w:rsidRPr="00671F4B">
              <w:rPr>
                <w:rFonts w:asciiTheme="minorHAnsi" w:eastAsiaTheme="minorEastAsia" w:hAnsiTheme="minorHAnsi" w:cstheme="minorBidi"/>
                <w:i/>
                <w:iCs/>
                <w:highlight w:val="lightGray"/>
              </w:rPr>
              <w:t>: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 3 ore</w:t>
            </w:r>
            <w:r w:rsid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>con il tutor</w:t>
            </w:r>
          </w:p>
          <w:p w14:paraId="50AAB854" w14:textId="77777777" w:rsidR="00671F4B" w:rsidRDefault="00671F4B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71F4B">
              <w:rPr>
                <w:rFonts w:asciiTheme="minorHAnsi" w:eastAsiaTheme="minorEastAsia" w:hAnsiTheme="minorHAnsi" w:cstheme="minorBidi"/>
                <w:i/>
                <w:iCs/>
                <w:highlight w:val="lightGray"/>
              </w:rPr>
              <w:t>Tutoraggio individuale:</w:t>
            </w: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 3 ore, a cura del tutor, secondo le necessità degli studenti</w:t>
            </w:r>
          </w:p>
          <w:p w14:paraId="21CD7255" w14:textId="3AE65644" w:rsidR="00671F4B" w:rsidRDefault="00671F4B" w:rsidP="00596304">
            <w:pPr>
              <w:pStyle w:val="TableParagraph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</w:tr>
      <w:tr w:rsidR="00873866" w14:paraId="5406459F" w14:textId="77777777" w:rsidTr="4E6D0C85">
        <w:trPr>
          <w:trHeight w:val="634"/>
        </w:trPr>
        <w:tc>
          <w:tcPr>
            <w:tcW w:w="3815" w:type="dxa"/>
          </w:tcPr>
          <w:p w14:paraId="03E01F27" w14:textId="77777777" w:rsidR="00873866" w:rsidRPr="00596304" w:rsidRDefault="004112CE" w:rsidP="4E6D0C85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  <w:i/>
                <w:iCs/>
                <w:highlight w:val="lightGray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t>Tipologia di materiali e risorse didatti</w:t>
            </w: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che</w:t>
            </w:r>
          </w:p>
        </w:tc>
        <w:tc>
          <w:tcPr>
            <w:tcW w:w="9313" w:type="dxa"/>
          </w:tcPr>
          <w:p w14:paraId="4817CC52" w14:textId="5CFBD191" w:rsidR="00873866" w:rsidRPr="00596304" w:rsidRDefault="56229E3E" w:rsidP="4E6D0C85">
            <w:pPr>
              <w:spacing w:before="240" w:after="24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Nei video, il docente mostra slide con parole chiave, tabelle/grafici/ risultati e dati di sintesi sui concetti spiegati. I video sono correlati delle slide prodotte. Il docente metterà a disposizione i dati relativi ai casi di studio analizzati e alle esercitazioni, oltre che articoli scientifici relativi agli argomenti trattati</w:t>
            </w:r>
          </w:p>
        </w:tc>
      </w:tr>
      <w:tr w:rsidR="00873866" w14:paraId="618E51F7" w14:textId="77777777" w:rsidTr="4E6D0C85">
        <w:trPr>
          <w:trHeight w:val="634"/>
        </w:trPr>
        <w:tc>
          <w:tcPr>
            <w:tcW w:w="3815" w:type="dxa"/>
          </w:tcPr>
          <w:p w14:paraId="0FA9CAD1" w14:textId="77777777" w:rsidR="00873866" w:rsidRPr="00596304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t>Elenco</w:t>
            </w:r>
            <w:r w:rsidRPr="00A96F52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delle e-</w:t>
            </w:r>
            <w:proofErr w:type="spellStart"/>
            <w:r w:rsidRPr="00A96F52">
              <w:rPr>
                <w:rFonts w:asciiTheme="minorHAnsi" w:eastAsiaTheme="minorEastAsia" w:hAnsiTheme="minorHAnsi" w:cstheme="minorBidi"/>
                <w:spacing w:val="-2"/>
              </w:rPr>
              <w:t>tivity</w:t>
            </w:r>
            <w:proofErr w:type="spellEnd"/>
          </w:p>
        </w:tc>
        <w:tc>
          <w:tcPr>
            <w:tcW w:w="9313" w:type="dxa"/>
          </w:tcPr>
          <w:p w14:paraId="4A4AC7A8" w14:textId="68ACFB59" w:rsidR="00873866" w:rsidRPr="00596304" w:rsidRDefault="5C4DC21B" w:rsidP="4E6D0C85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1 - Creazione di glossario con la terminologia del corso (2 h) </w:t>
            </w:r>
          </w:p>
          <w:p w14:paraId="54DF63E3" w14:textId="3A3C5036" w:rsidR="00873866" w:rsidRPr="00596304" w:rsidRDefault="5C4DC21B" w:rsidP="4E6D0C85">
            <w:pPr>
              <w:pStyle w:val="TableParagraph"/>
              <w:spacing w:before="75"/>
              <w:ind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2 - E-</w:t>
            </w:r>
            <w:proofErr w:type="spellStart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– Simulazione di un processo tipico di un ufficio postale e condivisione di video e riflessione testuale (compito con caricamento </w:t>
            </w:r>
            <w:proofErr w:type="gramStart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file)  (</w:t>
            </w:r>
            <w:proofErr w:type="gramEnd"/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1h) - per poter proseguire il corso occorre completare l’attività.</w:t>
            </w:r>
          </w:p>
          <w:p w14:paraId="59259361" w14:textId="022D1576" w:rsidR="00873866" w:rsidRPr="00596304" w:rsidRDefault="5C4DC21B" w:rsidP="4E6D0C85">
            <w:pPr>
              <w:pStyle w:val="TableParagraph"/>
              <w:spacing w:before="75"/>
              <w:ind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>3 - Redazione di un VSM</w:t>
            </w:r>
            <w:r w:rsid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- </w:t>
            </w:r>
            <w:r w:rsidR="00A96F52" w:rsidRPr="00A96F52">
              <w:rPr>
                <w:rFonts w:asciiTheme="minorHAnsi" w:eastAsiaTheme="minorEastAsia" w:hAnsiTheme="minorHAnsi" w:cstheme="minorBidi"/>
                <w:i/>
                <w:iCs/>
              </w:rPr>
              <w:t>mappatura del flusso di valore</w:t>
            </w:r>
            <w:r w:rsidR="00A96F52">
              <w:rPr>
                <w:rFonts w:asciiTheme="minorHAnsi" w:eastAsiaTheme="minorEastAsia" w:hAnsiTheme="minorHAnsi" w:cstheme="minorBidi"/>
                <w:i/>
                <w:iCs/>
              </w:rPr>
              <w:t>-</w:t>
            </w: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(compito con caricamento file) (2h)</w:t>
            </w:r>
          </w:p>
          <w:p w14:paraId="1E8DD00E" w14:textId="77777777" w:rsidR="00873866" w:rsidRDefault="6E0BA3E9" w:rsidP="4E6D0C85">
            <w:pPr>
              <w:pStyle w:val="TableParagraph"/>
              <w:spacing w:before="1" w:line="259" w:lineRule="auto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E6D0C85">
              <w:rPr>
                <w:rFonts w:asciiTheme="minorHAnsi" w:eastAsiaTheme="minorEastAsia" w:hAnsiTheme="minorHAnsi" w:cstheme="minorBidi"/>
                <w:i/>
                <w:iCs/>
              </w:rPr>
              <w:t xml:space="preserve"> 4 - Questionario di autovalutazione (1h) – quiz a risposta multipla</w:t>
            </w:r>
          </w:p>
          <w:p w14:paraId="7FD67689" w14:textId="0864EAE8" w:rsidR="00A96F52" w:rsidRPr="00596304" w:rsidRDefault="00A96F52" w:rsidP="4E6D0C85">
            <w:pPr>
              <w:pStyle w:val="TableParagraph"/>
              <w:spacing w:before="1" w:line="259" w:lineRule="auto"/>
              <w:ind w:left="0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</w:tr>
      <w:tr w:rsidR="00873866" w14:paraId="45431B53" w14:textId="77777777" w:rsidTr="4E6D0C85">
        <w:trPr>
          <w:trHeight w:val="394"/>
        </w:trPr>
        <w:tc>
          <w:tcPr>
            <w:tcW w:w="3815" w:type="dxa"/>
          </w:tcPr>
          <w:p w14:paraId="2BEB55A9" w14:textId="77777777" w:rsidR="00873866" w:rsidRPr="00596304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t xml:space="preserve">Compiti di docenti e </w:t>
            </w:r>
            <w:r w:rsidRPr="00A96F52">
              <w:rPr>
                <w:rFonts w:asciiTheme="minorHAnsi" w:eastAsiaTheme="minorEastAsia" w:hAnsiTheme="minorHAnsi" w:cstheme="minorBidi"/>
                <w:spacing w:val="-2"/>
              </w:rPr>
              <w:t>tutor</w:t>
            </w:r>
          </w:p>
        </w:tc>
        <w:tc>
          <w:tcPr>
            <w:tcW w:w="9313" w:type="dxa"/>
          </w:tcPr>
          <w:p w14:paraId="2D3BF381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Il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docente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ha la responsabilità didattica del modulo, registra le lezioni a distanza e tiene le lezioni in presenza, cura la predisposizione del materiale didattico e supervisiona/coordina le attività del tutor. Inoltre, coordina con i docenti afferenti al cluster la definizione, la gestione e la valutazione delle prove d’esame. 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F959AD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BF23C6E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Il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tutor disciplinare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ha i seguenti compiti: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7052819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•        Supporto accademico: aiuta gli studenti a comprendere i concetti del corso, chiarisce dubbi, risponde nei forum o per e-mail.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BDFFC49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•        Monitoraggio: controlla che gli studenti completino le attività, rispettino le scadenze e fornisce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feedback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.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DE2EA6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•        Motivazione e coaching: incoraggia gli studenti nei momenti di difficoltà, li aiuta a gestire lo stress e a mantenere la motivazione.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B05DA3" w14:textId="77777777" w:rsidR="00A73BCF" w:rsidRDefault="00A73BCF" w:rsidP="00A73BC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•        Facilitazione delle e-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tivity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: promuove la partecipazione a discussioni online, lavori di gruppo, attività collaborative e fornisce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feedback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.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50D0F" w14:textId="77777777" w:rsidR="00A73BCF" w:rsidRDefault="00A73BCF" w:rsidP="00A73B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•</w:t>
            </w:r>
            <w:r>
              <w:rPr>
                <w:rStyle w:val="tabchar"/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Gestisce l'aula virtuale e fa il tutoraggio individuale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E420191" w14:textId="563AEA50" w:rsidR="00873866" w:rsidRPr="00596304" w:rsidRDefault="00873866" w:rsidP="00A73BCF">
            <w:pPr>
              <w:pStyle w:val="TableParagraph"/>
              <w:spacing w:before="75"/>
              <w:ind w:left="0"/>
              <w:rPr>
                <w:rFonts w:asciiTheme="minorHAnsi" w:eastAsiaTheme="minorEastAsia" w:hAnsiTheme="minorHAnsi" w:cstheme="minorBidi"/>
                <w:i/>
                <w:iCs/>
                <w:color w:val="FF0000"/>
                <w:highlight w:val="lightGray"/>
              </w:rPr>
            </w:pPr>
          </w:p>
        </w:tc>
      </w:tr>
      <w:tr w:rsidR="00873866" w14:paraId="5B944E36" w14:textId="77777777" w:rsidTr="4E6D0C85">
        <w:trPr>
          <w:trHeight w:val="874"/>
        </w:trPr>
        <w:tc>
          <w:tcPr>
            <w:tcW w:w="3815" w:type="dxa"/>
          </w:tcPr>
          <w:p w14:paraId="3A7C1E89" w14:textId="77777777" w:rsidR="00873866" w:rsidRPr="00A96F52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lastRenderedPageBreak/>
              <w:t>Modalità</w:t>
            </w:r>
            <w:r w:rsidRPr="00A96F52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di</w:t>
            </w:r>
            <w:r w:rsidRPr="00A96F52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valutazione</w:t>
            </w:r>
            <w:r w:rsidRPr="00A96F52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per</w:t>
            </w:r>
            <w:r w:rsidRPr="00A96F52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il</w:t>
            </w:r>
            <w:r w:rsidRPr="00A96F52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rilascio dell’open badge</w:t>
            </w:r>
          </w:p>
        </w:tc>
        <w:tc>
          <w:tcPr>
            <w:tcW w:w="9313" w:type="dxa"/>
          </w:tcPr>
          <w:p w14:paraId="01F2F042" w14:textId="6276141B" w:rsidR="00873866" w:rsidRDefault="5237BFA9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La prova finale del modulo, che permetterà di conseguire l’open </w:t>
            </w:r>
            <w:proofErr w:type="gramStart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badge</w:t>
            </w:r>
            <w:proofErr w:type="gramEnd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, consisterà in un colloquio conclusivo con valorizzazione e commento dei contributi dello studente alle e-</w:t>
            </w:r>
            <w:proofErr w:type="spellStart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 xml:space="preserve"> realizzate durante il percorso.</w:t>
            </w:r>
          </w:p>
          <w:p w14:paraId="01E0CFEB" w14:textId="77777777" w:rsidR="00A96F52" w:rsidRPr="00A96F52" w:rsidRDefault="00A96F52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53D1C638" w14:textId="35686F50" w:rsidR="00873866" w:rsidRPr="00A96F52" w:rsidRDefault="5A33452A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154DAC">
              <w:rPr>
                <w:rFonts w:asciiTheme="minorHAnsi" w:eastAsiaTheme="minorEastAsia" w:hAnsiTheme="minorHAnsi" w:cstheme="minorBidi"/>
                <w:i/>
                <w:iCs/>
                <w:highlight w:val="yellow"/>
              </w:rPr>
              <w:t>Competenze raggiunte secondo il framework EU ESCO:</w:t>
            </w:r>
          </w:p>
          <w:p w14:paraId="00DC8FCB" w14:textId="77777777" w:rsidR="00873866" w:rsidRDefault="00873866" w:rsidP="00154DAC">
            <w:pPr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14F07CAF" w14:textId="77777777" w:rsidR="00154DAC" w:rsidRDefault="00154DAC" w:rsidP="00154DAC">
            <w:pPr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4112DA12" w14:textId="77777777" w:rsidR="00154DAC" w:rsidRDefault="00154DAC" w:rsidP="00154DAC">
            <w:pPr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65E6D0D1" w14:textId="77777777" w:rsidR="00154DAC" w:rsidRDefault="00154DAC" w:rsidP="00154DAC">
            <w:pPr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46AC5060" w14:textId="5C5B8846" w:rsidR="00154DAC" w:rsidRPr="00154DAC" w:rsidRDefault="00154DAC" w:rsidP="00154DAC">
            <w:pPr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</w:tr>
      <w:tr w:rsidR="00873866" w14:paraId="0CCCF73C" w14:textId="77777777" w:rsidTr="4E6D0C85">
        <w:trPr>
          <w:trHeight w:val="394"/>
        </w:trPr>
        <w:tc>
          <w:tcPr>
            <w:tcW w:w="3815" w:type="dxa"/>
          </w:tcPr>
          <w:p w14:paraId="63895790" w14:textId="77777777" w:rsidR="00873866" w:rsidRPr="00A96F52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t>Testi</w:t>
            </w:r>
            <w:r w:rsidRPr="00A96F52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e</w:t>
            </w:r>
            <w:r w:rsidRPr="00A96F52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Materiali</w:t>
            </w:r>
            <w:r w:rsidRPr="00A96F52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Didattici</w:t>
            </w:r>
            <w:r w:rsidRPr="00A96F52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</w:rPr>
              <w:t>di</w:t>
            </w:r>
            <w:r w:rsidRPr="00A96F52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  <w:spacing w:val="-2"/>
              </w:rPr>
              <w:t>riferimento</w:t>
            </w:r>
          </w:p>
        </w:tc>
        <w:tc>
          <w:tcPr>
            <w:tcW w:w="9313" w:type="dxa"/>
          </w:tcPr>
          <w:p w14:paraId="26F1295F" w14:textId="41893BDB" w:rsidR="00873866" w:rsidRPr="00A96F52" w:rsidRDefault="68DA24A2" w:rsidP="0F2561B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 w:rsidRPr="00A96F52">
              <w:rPr>
                <w:rFonts w:asciiTheme="minorHAnsi" w:eastAsiaTheme="minorEastAsia" w:hAnsiTheme="minorHAnsi" w:cstheme="minorBidi"/>
              </w:rPr>
              <w:t xml:space="preserve"> </w:t>
            </w:r>
            <w:r w:rsidRPr="00A96F52">
              <w:rPr>
                <w:rFonts w:asciiTheme="minorHAnsi" w:eastAsiaTheme="minorEastAsia" w:hAnsiTheme="minorHAnsi" w:cstheme="minorBidi"/>
                <w:i/>
                <w:iCs/>
              </w:rPr>
              <w:t>Indicare i testi didattici di riferimento adottati</w:t>
            </w:r>
          </w:p>
        </w:tc>
      </w:tr>
    </w:tbl>
    <w:p w14:paraId="2E35647B" w14:textId="77777777" w:rsidR="0056170F" w:rsidRDefault="0056170F"/>
    <w:sectPr w:rsidR="0056170F">
      <w:type w:val="continuous"/>
      <w:pgSz w:w="15370" w:h="20480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051F"/>
    <w:multiLevelType w:val="multilevel"/>
    <w:tmpl w:val="26F0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F14A9"/>
    <w:multiLevelType w:val="hybridMultilevel"/>
    <w:tmpl w:val="053C4F5A"/>
    <w:lvl w:ilvl="0" w:tplc="E96ED3E2">
      <w:start w:val="1"/>
      <w:numFmt w:val="bullet"/>
      <w:lvlText w:val="-"/>
      <w:lvlJc w:val="left"/>
      <w:pPr>
        <w:ind w:left="6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 w15:restartNumberingAfterBreak="0">
    <w:nsid w:val="50D23C2F"/>
    <w:multiLevelType w:val="multilevel"/>
    <w:tmpl w:val="39AE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ascii="Helvetica Neue" w:eastAsia="Helvetica Neue" w:hAnsi="Helvetica Neue" w:cs="Helvetica Neue" w:hint="default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abstractNum w:abstractNumId="4" w15:restartNumberingAfterBreak="0">
    <w:nsid w:val="6DD4D669"/>
    <w:multiLevelType w:val="hybridMultilevel"/>
    <w:tmpl w:val="18A27526"/>
    <w:lvl w:ilvl="0" w:tplc="B4A25662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7BD062C2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2E98EE50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FDA65388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22CC629C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8244C918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2828ED2C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5298242E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7038A75A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150410218">
    <w:abstractNumId w:val="4"/>
  </w:num>
  <w:num w:numId="2" w16cid:durableId="2007129262">
    <w:abstractNumId w:val="3"/>
  </w:num>
  <w:num w:numId="3" w16cid:durableId="1308782197">
    <w:abstractNumId w:val="0"/>
  </w:num>
  <w:num w:numId="4" w16cid:durableId="206836785">
    <w:abstractNumId w:val="2"/>
  </w:num>
  <w:num w:numId="5" w16cid:durableId="90842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6"/>
    <w:rsid w:val="000112A8"/>
    <w:rsid w:val="000200D7"/>
    <w:rsid w:val="00091EA3"/>
    <w:rsid w:val="000968D5"/>
    <w:rsid w:val="000A27BE"/>
    <w:rsid w:val="000A2CE3"/>
    <w:rsid w:val="000A6E15"/>
    <w:rsid w:val="000D2011"/>
    <w:rsid w:val="000D22A0"/>
    <w:rsid w:val="000D7D60"/>
    <w:rsid w:val="00125F75"/>
    <w:rsid w:val="00130469"/>
    <w:rsid w:val="00130753"/>
    <w:rsid w:val="00141DF2"/>
    <w:rsid w:val="00154DAC"/>
    <w:rsid w:val="0017658E"/>
    <w:rsid w:val="00196947"/>
    <w:rsid w:val="001A400F"/>
    <w:rsid w:val="002259FB"/>
    <w:rsid w:val="00244B6D"/>
    <w:rsid w:val="002F2D42"/>
    <w:rsid w:val="00337706"/>
    <w:rsid w:val="0036097D"/>
    <w:rsid w:val="003700EC"/>
    <w:rsid w:val="00393343"/>
    <w:rsid w:val="003A0452"/>
    <w:rsid w:val="004112CE"/>
    <w:rsid w:val="00431C8B"/>
    <w:rsid w:val="004332D4"/>
    <w:rsid w:val="00433B86"/>
    <w:rsid w:val="0047799C"/>
    <w:rsid w:val="00480104"/>
    <w:rsid w:val="004B740F"/>
    <w:rsid w:val="004C632E"/>
    <w:rsid w:val="004E2D30"/>
    <w:rsid w:val="004F5B26"/>
    <w:rsid w:val="00534D3A"/>
    <w:rsid w:val="0056170F"/>
    <w:rsid w:val="0056616A"/>
    <w:rsid w:val="00596304"/>
    <w:rsid w:val="005A426D"/>
    <w:rsid w:val="005A7694"/>
    <w:rsid w:val="005E197C"/>
    <w:rsid w:val="00606BE7"/>
    <w:rsid w:val="00614DCA"/>
    <w:rsid w:val="00630808"/>
    <w:rsid w:val="0063598D"/>
    <w:rsid w:val="00647D7C"/>
    <w:rsid w:val="00657138"/>
    <w:rsid w:val="00671F4B"/>
    <w:rsid w:val="006926C7"/>
    <w:rsid w:val="00696D72"/>
    <w:rsid w:val="006D5850"/>
    <w:rsid w:val="006F5B9C"/>
    <w:rsid w:val="00707264"/>
    <w:rsid w:val="00795F95"/>
    <w:rsid w:val="007B2FB5"/>
    <w:rsid w:val="007D4EB7"/>
    <w:rsid w:val="007E2DF7"/>
    <w:rsid w:val="007F2352"/>
    <w:rsid w:val="008473D8"/>
    <w:rsid w:val="00873866"/>
    <w:rsid w:val="00881C34"/>
    <w:rsid w:val="008827DC"/>
    <w:rsid w:val="00895DD7"/>
    <w:rsid w:val="008F370F"/>
    <w:rsid w:val="009019F6"/>
    <w:rsid w:val="00923D20"/>
    <w:rsid w:val="00961DB4"/>
    <w:rsid w:val="00971297"/>
    <w:rsid w:val="009B0762"/>
    <w:rsid w:val="009C7E33"/>
    <w:rsid w:val="009E0195"/>
    <w:rsid w:val="009E5E88"/>
    <w:rsid w:val="00A16790"/>
    <w:rsid w:val="00A21867"/>
    <w:rsid w:val="00A37B56"/>
    <w:rsid w:val="00A61453"/>
    <w:rsid w:val="00A6181D"/>
    <w:rsid w:val="00A73BCF"/>
    <w:rsid w:val="00A845F5"/>
    <w:rsid w:val="00A96F52"/>
    <w:rsid w:val="00AC32D7"/>
    <w:rsid w:val="00AE2CE1"/>
    <w:rsid w:val="00B0043F"/>
    <w:rsid w:val="00B02F1E"/>
    <w:rsid w:val="00B42A83"/>
    <w:rsid w:val="00B475A8"/>
    <w:rsid w:val="00B8315A"/>
    <w:rsid w:val="00C061FB"/>
    <w:rsid w:val="00C136AE"/>
    <w:rsid w:val="00C3498D"/>
    <w:rsid w:val="00C41403"/>
    <w:rsid w:val="00C51944"/>
    <w:rsid w:val="00C656E9"/>
    <w:rsid w:val="00C90B0B"/>
    <w:rsid w:val="00CA25CA"/>
    <w:rsid w:val="00CB6B31"/>
    <w:rsid w:val="00CD3077"/>
    <w:rsid w:val="00CE23F9"/>
    <w:rsid w:val="00D26FE9"/>
    <w:rsid w:val="00D3281B"/>
    <w:rsid w:val="00D97B33"/>
    <w:rsid w:val="00DA5A77"/>
    <w:rsid w:val="00DB6C62"/>
    <w:rsid w:val="00DD2150"/>
    <w:rsid w:val="00DE7048"/>
    <w:rsid w:val="00DF5A36"/>
    <w:rsid w:val="00E071D8"/>
    <w:rsid w:val="00E329AB"/>
    <w:rsid w:val="00E438BD"/>
    <w:rsid w:val="00E606D0"/>
    <w:rsid w:val="00E8768D"/>
    <w:rsid w:val="00E96A41"/>
    <w:rsid w:val="00EA0A82"/>
    <w:rsid w:val="00EA3A66"/>
    <w:rsid w:val="00EB217C"/>
    <w:rsid w:val="00EF18DA"/>
    <w:rsid w:val="00EF5D90"/>
    <w:rsid w:val="00EF775D"/>
    <w:rsid w:val="00F2487E"/>
    <w:rsid w:val="00F602B4"/>
    <w:rsid w:val="00F62040"/>
    <w:rsid w:val="00F64B0A"/>
    <w:rsid w:val="00F66441"/>
    <w:rsid w:val="00F7377C"/>
    <w:rsid w:val="00F8357D"/>
    <w:rsid w:val="00FC0428"/>
    <w:rsid w:val="00FD2D84"/>
    <w:rsid w:val="01EE4FA2"/>
    <w:rsid w:val="0473CC44"/>
    <w:rsid w:val="06CA316E"/>
    <w:rsid w:val="06DD64A7"/>
    <w:rsid w:val="079FF485"/>
    <w:rsid w:val="07B962A3"/>
    <w:rsid w:val="08CFE83E"/>
    <w:rsid w:val="0C616DED"/>
    <w:rsid w:val="0F2561BC"/>
    <w:rsid w:val="100ACE92"/>
    <w:rsid w:val="125B815E"/>
    <w:rsid w:val="1404049B"/>
    <w:rsid w:val="1418CAD4"/>
    <w:rsid w:val="15696544"/>
    <w:rsid w:val="15E16DB2"/>
    <w:rsid w:val="16160258"/>
    <w:rsid w:val="181C99EC"/>
    <w:rsid w:val="182B7B78"/>
    <w:rsid w:val="1A787750"/>
    <w:rsid w:val="1A7ED03F"/>
    <w:rsid w:val="1A922A99"/>
    <w:rsid w:val="1AE57DB1"/>
    <w:rsid w:val="1CB5711F"/>
    <w:rsid w:val="1E62679F"/>
    <w:rsid w:val="1E6F2F26"/>
    <w:rsid w:val="23B9713A"/>
    <w:rsid w:val="23D831B1"/>
    <w:rsid w:val="2C7376FF"/>
    <w:rsid w:val="2CB57134"/>
    <w:rsid w:val="2CB9FF3E"/>
    <w:rsid w:val="2DA9AADE"/>
    <w:rsid w:val="2DB7073D"/>
    <w:rsid w:val="2DF7E0FD"/>
    <w:rsid w:val="3004E361"/>
    <w:rsid w:val="32311506"/>
    <w:rsid w:val="3308DDE3"/>
    <w:rsid w:val="337E898C"/>
    <w:rsid w:val="33E80F21"/>
    <w:rsid w:val="341DF37A"/>
    <w:rsid w:val="3435AD60"/>
    <w:rsid w:val="3954439E"/>
    <w:rsid w:val="396B833F"/>
    <w:rsid w:val="3A1E54D9"/>
    <w:rsid w:val="3B0B2EF6"/>
    <w:rsid w:val="3B213712"/>
    <w:rsid w:val="3C62847C"/>
    <w:rsid w:val="3E1ED156"/>
    <w:rsid w:val="3E90557B"/>
    <w:rsid w:val="4047A0F1"/>
    <w:rsid w:val="40A595A5"/>
    <w:rsid w:val="40B41F66"/>
    <w:rsid w:val="41727ACB"/>
    <w:rsid w:val="4387DEB5"/>
    <w:rsid w:val="445E34F5"/>
    <w:rsid w:val="47908F98"/>
    <w:rsid w:val="48BF0CD8"/>
    <w:rsid w:val="49DDE4CD"/>
    <w:rsid w:val="4BE523F5"/>
    <w:rsid w:val="4C7A67DF"/>
    <w:rsid w:val="4E6D0C85"/>
    <w:rsid w:val="5124FA53"/>
    <w:rsid w:val="51E0AFFF"/>
    <w:rsid w:val="5237BFA9"/>
    <w:rsid w:val="537DACD4"/>
    <w:rsid w:val="54CD3A8C"/>
    <w:rsid w:val="56229E3E"/>
    <w:rsid w:val="56F3418B"/>
    <w:rsid w:val="57FE315C"/>
    <w:rsid w:val="5A33452A"/>
    <w:rsid w:val="5A76B40E"/>
    <w:rsid w:val="5B09EE37"/>
    <w:rsid w:val="5C4DC21B"/>
    <w:rsid w:val="5D33EF0D"/>
    <w:rsid w:val="5E60AC25"/>
    <w:rsid w:val="617320E4"/>
    <w:rsid w:val="65C59C39"/>
    <w:rsid w:val="660EAE37"/>
    <w:rsid w:val="68DA24A2"/>
    <w:rsid w:val="6937DCF0"/>
    <w:rsid w:val="6A9D8A7E"/>
    <w:rsid w:val="6BD26326"/>
    <w:rsid w:val="6E0BA3E9"/>
    <w:rsid w:val="6E544621"/>
    <w:rsid w:val="6EB991FB"/>
    <w:rsid w:val="70977AAF"/>
    <w:rsid w:val="733E1E0B"/>
    <w:rsid w:val="750A7B71"/>
    <w:rsid w:val="7559E0D1"/>
    <w:rsid w:val="7679FA0B"/>
    <w:rsid w:val="7811A9CB"/>
    <w:rsid w:val="781C1316"/>
    <w:rsid w:val="78283721"/>
    <w:rsid w:val="7A5B229B"/>
    <w:rsid w:val="7BE0DF4B"/>
    <w:rsid w:val="7C1B6502"/>
    <w:rsid w:val="7C6688EC"/>
    <w:rsid w:val="7C78920E"/>
    <w:rsid w:val="7DF1E511"/>
    <w:rsid w:val="7F0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6B8A"/>
  <w15:docId w15:val="{D74AFF08-EAD0-AF4C-9532-76D0B2F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rFonts w:ascii="Futura Bold" w:eastAsia="Futura Bold" w:hAnsi="Futura Bold" w:cs="Futura Bold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Helvetica Neue" w:eastAsia="Helvetica Neue" w:hAnsi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e"/>
    <w:rsid w:val="00A73B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Carpredefinitoparagrafo"/>
    <w:rsid w:val="00A73BCF"/>
  </w:style>
  <w:style w:type="character" w:customStyle="1" w:styleId="eop">
    <w:name w:val="eop"/>
    <w:basedOn w:val="Carpredefinitoparagrafo"/>
    <w:rsid w:val="00A73BCF"/>
  </w:style>
  <w:style w:type="character" w:customStyle="1" w:styleId="tabchar">
    <w:name w:val="tabchar"/>
    <w:basedOn w:val="Carpredefinitoparagrafo"/>
    <w:rsid w:val="00A7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998</Words>
  <Characters>5792</Characters>
  <Application>Microsoft Office Word</Application>
  <DocSecurity>0</DocSecurity>
  <Lines>152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EDUNEXT - LINEE GUIDA PROGETTAZIONE CORSI DI LAUREA - Ver1.0.1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EDUNEXT - LINEE GUIDA PROGETTAZIONE CORSI DI LAUREA - Ver1.0.1</dc:title>
  <cp:lastModifiedBy>Claudia LEDDA</cp:lastModifiedBy>
  <cp:revision>4</cp:revision>
  <dcterms:created xsi:type="dcterms:W3CDTF">2025-09-16T09:44:00Z</dcterms:created>
  <dcterms:modified xsi:type="dcterms:W3CDTF">2026-04-13T16:06:00Z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