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0208" w14:textId="65104F49" w:rsidR="00873866" w:rsidRDefault="004112CE" w:rsidP="7BE0DF4B">
      <w:pPr>
        <w:pStyle w:val="Corpotesto"/>
        <w:spacing w:before="68" w:line="283" w:lineRule="auto"/>
        <w:ind w:left="10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C988D" wp14:editId="68553934">
                <wp:simplePos x="0" y="0"/>
                <wp:positionH relativeFrom="page">
                  <wp:posOffset>692150</wp:posOffset>
                </wp:positionH>
                <wp:positionV relativeFrom="paragraph">
                  <wp:posOffset>706881</wp:posOffset>
                </wp:positionV>
                <wp:extent cx="83724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7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72475">
                              <a:moveTo>
                                <a:pt x="0" y="0"/>
                              </a:moveTo>
                              <a:lnTo>
                                <a:pt x="83723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B48E665">
              <v:shape id="Graphic 1" style="position:absolute;margin-left:54.5pt;margin-top:55.65pt;width:65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72475,1270" o:spid="_x0000_s1026" filled="f" strokeweight="1pt" path="m,l837234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" w14:anchorId="21117C2A">
                <v:path arrowok="t"/>
                <w10:wrap type="topAndBottom" anchorx="page"/>
              </v:shape>
            </w:pict>
          </mc:Fallback>
        </mc:AlternateContent>
      </w:r>
      <w:r>
        <w:t>SCHEDA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PROGETTAZIONE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CFU)</w:t>
      </w:r>
      <w:r>
        <w:rPr>
          <w:spacing w:val="-7"/>
        </w:rPr>
        <w:t xml:space="preserve"> </w:t>
      </w:r>
      <w:r w:rsidR="00DA5A77">
        <w:rPr>
          <w:spacing w:val="-7"/>
        </w:rPr>
        <w:t>–</w:t>
      </w:r>
      <w:r w:rsidR="1418CAD4">
        <w:rPr>
          <w:spacing w:val="-7"/>
        </w:rPr>
        <w:t xml:space="preserve"> </w:t>
      </w:r>
      <w:r w:rsidR="007A6849">
        <w:rPr>
          <w:color w:val="FF0000"/>
          <w:spacing w:val="-7"/>
        </w:rPr>
        <w:t xml:space="preserve">Human </w:t>
      </w:r>
      <w:proofErr w:type="spellStart"/>
      <w:r w:rsidR="007A6849">
        <w:rPr>
          <w:color w:val="FF0000"/>
          <w:spacing w:val="-7"/>
        </w:rPr>
        <w:t>resource</w:t>
      </w:r>
      <w:proofErr w:type="spellEnd"/>
      <w:r w:rsidR="007A6849">
        <w:rPr>
          <w:color w:val="FF0000"/>
          <w:spacing w:val="-7"/>
        </w:rPr>
        <w:t xml:space="preserve"> management</w:t>
      </w:r>
    </w:p>
    <w:p w14:paraId="0BBCC6F9" w14:textId="46A70F9E" w:rsidR="00873866" w:rsidRDefault="00873866">
      <w:pPr>
        <w:spacing w:before="300"/>
        <w:ind w:left="100"/>
        <w:rPr>
          <w:rFonts w:ascii="Arial"/>
          <w:b/>
        </w:rPr>
      </w:pPr>
    </w:p>
    <w:p w14:paraId="6429FEAB" w14:textId="77777777" w:rsidR="00873866" w:rsidRDefault="00873866">
      <w:pPr>
        <w:pStyle w:val="Corpotesto"/>
        <w:rPr>
          <w:rFonts w:ascii="Arial"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815"/>
        <w:gridCol w:w="9313"/>
      </w:tblGrid>
      <w:tr w:rsidR="00873866" w14:paraId="5CABEFBD" w14:textId="77777777" w:rsidTr="2D1A14BC">
        <w:trPr>
          <w:trHeight w:val="394"/>
        </w:trPr>
        <w:tc>
          <w:tcPr>
            <w:tcW w:w="3815" w:type="dxa"/>
          </w:tcPr>
          <w:p w14:paraId="3A1BD983" w14:textId="77777777" w:rsidR="00873866" w:rsidRDefault="004112CE" w:rsidP="0F2561BC">
            <w:pPr>
              <w:pStyle w:val="TableParagraph"/>
              <w:spacing w:before="75"/>
              <w:ind w:left="90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  <w:spacing w:val="-2"/>
              </w:rPr>
              <w:t>Modulo</w:t>
            </w:r>
          </w:p>
        </w:tc>
        <w:tc>
          <w:tcPr>
            <w:tcW w:w="9313" w:type="dxa"/>
          </w:tcPr>
          <w:p w14:paraId="597445F0" w14:textId="7F2DAA20" w:rsidR="00873866" w:rsidRDefault="007A6849" w:rsidP="00647D7C">
            <w:pPr>
              <w:pStyle w:val="TableParagraph"/>
              <w:spacing w:before="74"/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7A6849">
              <w:rPr>
                <w:rFonts w:asciiTheme="minorHAnsi" w:eastAsiaTheme="minorEastAsia" w:hAnsiTheme="minorHAnsi" w:cstheme="minorBidi"/>
                <w:i/>
                <w:iCs/>
                <w:spacing w:val="-2"/>
              </w:rPr>
              <w:t xml:space="preserve">Human </w:t>
            </w:r>
            <w:proofErr w:type="spellStart"/>
            <w:r w:rsidRPr="007A6849">
              <w:rPr>
                <w:rFonts w:asciiTheme="minorHAnsi" w:eastAsiaTheme="minorEastAsia" w:hAnsiTheme="minorHAnsi" w:cstheme="minorBidi"/>
                <w:i/>
                <w:iCs/>
                <w:spacing w:val="-2"/>
              </w:rPr>
              <w:t>resource</w:t>
            </w:r>
            <w:proofErr w:type="spellEnd"/>
            <w:r w:rsidRPr="007A6849">
              <w:rPr>
                <w:rFonts w:asciiTheme="minorHAnsi" w:eastAsiaTheme="minorEastAsia" w:hAnsiTheme="minorHAnsi" w:cstheme="minorBidi"/>
                <w:i/>
                <w:iCs/>
                <w:spacing w:val="-2"/>
              </w:rPr>
              <w:t xml:space="preserve"> management</w:t>
            </w:r>
          </w:p>
        </w:tc>
      </w:tr>
      <w:tr w:rsidR="00873866" w14:paraId="697072D7" w14:textId="77777777" w:rsidTr="2D1A14BC">
        <w:trPr>
          <w:trHeight w:val="634"/>
        </w:trPr>
        <w:tc>
          <w:tcPr>
            <w:tcW w:w="3815" w:type="dxa"/>
          </w:tcPr>
          <w:p w14:paraId="4B19008C" w14:textId="77777777" w:rsidR="00873866" w:rsidRDefault="004112CE" w:rsidP="0F2561BC">
            <w:pPr>
              <w:pStyle w:val="TableParagraph"/>
              <w:spacing w:before="76"/>
              <w:ind w:left="90" w:right="68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Insegnamento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integrato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a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cui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appartiene il modulo</w:t>
            </w:r>
          </w:p>
        </w:tc>
        <w:tc>
          <w:tcPr>
            <w:tcW w:w="9313" w:type="dxa"/>
          </w:tcPr>
          <w:p w14:paraId="1936E15D" w14:textId="2C253ADF" w:rsidR="00873866" w:rsidRDefault="00CE23F9" w:rsidP="00647D7C">
            <w:pPr>
              <w:pStyle w:val="TableParagraph"/>
              <w:tabs>
                <w:tab w:val="left" w:pos="1163"/>
              </w:tabs>
              <w:spacing w:before="75"/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pacing w:val="-2"/>
              </w:rPr>
              <w:t>Sistemi organizzativi e qualità nella P.A.</w:t>
            </w:r>
          </w:p>
        </w:tc>
      </w:tr>
      <w:tr w:rsidR="00873866" w14:paraId="5DBA2731" w14:textId="77777777" w:rsidTr="2D1A14BC">
        <w:trPr>
          <w:trHeight w:val="394"/>
        </w:trPr>
        <w:tc>
          <w:tcPr>
            <w:tcW w:w="3815" w:type="dxa"/>
          </w:tcPr>
          <w:p w14:paraId="19F29BF1" w14:textId="77777777" w:rsidR="00873866" w:rsidRDefault="004112CE" w:rsidP="0F2561BC">
            <w:pPr>
              <w:pStyle w:val="TableParagraph"/>
              <w:spacing w:before="75"/>
              <w:ind w:left="90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Docente</w:t>
            </w:r>
            <w:r w:rsidRPr="0F2561BC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referente</w:t>
            </w:r>
            <w:r w:rsidRPr="0F2561BC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del</w:t>
            </w:r>
            <w:r w:rsidRPr="0F2561BC">
              <w:rPr>
                <w:rFonts w:asciiTheme="minorHAnsi" w:eastAsiaTheme="minorEastAsia" w:hAnsiTheme="minorHAnsi" w:cstheme="minorBidi"/>
                <w:spacing w:val="-2"/>
              </w:rPr>
              <w:t xml:space="preserve"> modulo</w:t>
            </w:r>
          </w:p>
        </w:tc>
        <w:tc>
          <w:tcPr>
            <w:tcW w:w="9313" w:type="dxa"/>
          </w:tcPr>
          <w:p w14:paraId="0B552D5E" w14:textId="139ADD14" w:rsidR="00873866" w:rsidRDefault="00873866" w:rsidP="00647D7C">
            <w:pPr>
              <w:pStyle w:val="TableParagraph"/>
              <w:ind w:left="576" w:hanging="283"/>
              <w:rPr>
                <w:rFonts w:asciiTheme="minorHAnsi" w:eastAsiaTheme="minorEastAsia" w:hAnsiTheme="minorHAnsi" w:cstheme="minorBidi"/>
              </w:rPr>
            </w:pPr>
          </w:p>
        </w:tc>
      </w:tr>
      <w:tr w:rsidR="00873866" w14:paraId="68EC0517" w14:textId="77777777" w:rsidTr="2D1A14BC">
        <w:trPr>
          <w:trHeight w:val="394"/>
        </w:trPr>
        <w:tc>
          <w:tcPr>
            <w:tcW w:w="3815" w:type="dxa"/>
          </w:tcPr>
          <w:p w14:paraId="497E7DE8" w14:textId="77777777" w:rsidR="00873866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  <w:spacing w:val="-4"/>
              </w:rPr>
              <w:t>Tutor</w:t>
            </w:r>
          </w:p>
        </w:tc>
        <w:tc>
          <w:tcPr>
            <w:tcW w:w="9313" w:type="dxa"/>
          </w:tcPr>
          <w:p w14:paraId="14B117D5" w14:textId="3720148B" w:rsidR="00873866" w:rsidRDefault="00873866" w:rsidP="00647D7C">
            <w:pPr>
              <w:pStyle w:val="TableParagraph"/>
              <w:ind w:left="576" w:hanging="283"/>
              <w:rPr>
                <w:rFonts w:asciiTheme="minorHAnsi" w:eastAsiaTheme="minorEastAsia" w:hAnsiTheme="minorHAnsi" w:cstheme="minorBidi"/>
              </w:rPr>
            </w:pPr>
          </w:p>
        </w:tc>
      </w:tr>
      <w:tr w:rsidR="00431C8B" w14:paraId="412CCD2E" w14:textId="77777777" w:rsidTr="2D1A14BC">
        <w:trPr>
          <w:trHeight w:val="634"/>
        </w:trPr>
        <w:tc>
          <w:tcPr>
            <w:tcW w:w="3815" w:type="dxa"/>
          </w:tcPr>
          <w:p w14:paraId="023272AE" w14:textId="6425C0A0" w:rsidR="00431C8B" w:rsidRDefault="00431C8B" w:rsidP="0F2561BC">
            <w:pPr>
              <w:pStyle w:val="TableParagraph"/>
              <w:spacing w:before="75"/>
              <w:ind w:left="90" w:right="448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Anno di erogazione</w:t>
            </w:r>
          </w:p>
        </w:tc>
        <w:tc>
          <w:tcPr>
            <w:tcW w:w="9313" w:type="dxa"/>
          </w:tcPr>
          <w:p w14:paraId="64663C86" w14:textId="3EF91A8E" w:rsidR="00431C8B" w:rsidRDefault="00CE23F9" w:rsidP="00647D7C">
            <w:pPr>
              <w:pStyle w:val="TableParagraph"/>
              <w:spacing w:before="74"/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</w:rPr>
              <w:t>1</w:t>
            </w:r>
          </w:p>
        </w:tc>
      </w:tr>
      <w:tr w:rsidR="00431C8B" w14:paraId="0ECE180D" w14:textId="77777777" w:rsidTr="2D1A14BC">
        <w:trPr>
          <w:trHeight w:val="634"/>
        </w:trPr>
        <w:tc>
          <w:tcPr>
            <w:tcW w:w="3815" w:type="dxa"/>
          </w:tcPr>
          <w:p w14:paraId="7E447BE9" w14:textId="48F5E8CA" w:rsidR="00431C8B" w:rsidRDefault="00431C8B" w:rsidP="0F2561BC">
            <w:pPr>
              <w:pStyle w:val="TableParagraph"/>
              <w:spacing w:before="75"/>
              <w:ind w:left="90" w:right="448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Semestre di erogazione</w:t>
            </w:r>
          </w:p>
        </w:tc>
        <w:tc>
          <w:tcPr>
            <w:tcW w:w="9313" w:type="dxa"/>
          </w:tcPr>
          <w:p w14:paraId="24529295" w14:textId="757C93DF" w:rsidR="00431C8B" w:rsidRDefault="00CE23F9" w:rsidP="00647D7C">
            <w:pPr>
              <w:pStyle w:val="TableParagraph"/>
              <w:spacing w:before="74"/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</w:rPr>
              <w:t>1</w:t>
            </w:r>
          </w:p>
        </w:tc>
      </w:tr>
      <w:tr w:rsidR="00873866" w14:paraId="6034334A" w14:textId="77777777" w:rsidTr="2D1A14BC">
        <w:trPr>
          <w:trHeight w:val="634"/>
        </w:trPr>
        <w:tc>
          <w:tcPr>
            <w:tcW w:w="3815" w:type="dxa"/>
          </w:tcPr>
          <w:p w14:paraId="418C44D5" w14:textId="2071728C" w:rsidR="00873866" w:rsidRDefault="1A922A99" w:rsidP="0F2561BC">
            <w:pPr>
              <w:pStyle w:val="TableParagraph"/>
              <w:spacing w:before="75"/>
              <w:ind w:left="90" w:right="448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Ore dedicate alla Didattica Erogativa (TEL-DE – Registrazioni a distanza, fatte dal docente)</w:t>
            </w:r>
          </w:p>
        </w:tc>
        <w:tc>
          <w:tcPr>
            <w:tcW w:w="9313" w:type="dxa"/>
          </w:tcPr>
          <w:p w14:paraId="3D39746C" w14:textId="77777777" w:rsidR="00873866" w:rsidRDefault="7DF1E511" w:rsidP="00647D7C">
            <w:pPr>
              <w:pStyle w:val="TableParagraph"/>
              <w:spacing w:before="74"/>
              <w:ind w:left="576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F2561BC">
              <w:rPr>
                <w:rFonts w:asciiTheme="minorHAnsi" w:eastAsiaTheme="minorEastAsia" w:hAnsiTheme="minorHAnsi" w:cstheme="minorBidi"/>
                <w:i/>
                <w:iCs/>
                <w:spacing w:val="-2"/>
              </w:rPr>
              <w:t>9</w:t>
            </w:r>
          </w:p>
        </w:tc>
      </w:tr>
      <w:tr w:rsidR="0F2561BC" w14:paraId="58D77409" w14:textId="77777777" w:rsidTr="2D1A14BC">
        <w:trPr>
          <w:trHeight w:val="300"/>
        </w:trPr>
        <w:tc>
          <w:tcPr>
            <w:tcW w:w="3815" w:type="dxa"/>
          </w:tcPr>
          <w:p w14:paraId="662CDD7F" w14:textId="2259D236" w:rsidR="0F2561BC" w:rsidRDefault="0F2561BC" w:rsidP="0F2561BC">
            <w:pPr>
              <w:pStyle w:val="TableParagraph"/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Ore in presenza (fatte dal docente)</w:t>
            </w:r>
          </w:p>
        </w:tc>
        <w:tc>
          <w:tcPr>
            <w:tcW w:w="9313" w:type="dxa"/>
          </w:tcPr>
          <w:p w14:paraId="7A77DFF4" w14:textId="700C8975" w:rsidR="0F2561BC" w:rsidRDefault="0F2561BC" w:rsidP="00647D7C">
            <w:pPr>
              <w:pStyle w:val="TableParagraph"/>
              <w:ind w:left="576" w:hanging="283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6</w:t>
            </w:r>
          </w:p>
        </w:tc>
      </w:tr>
      <w:tr w:rsidR="00873866" w14:paraId="16CFF5CE" w14:textId="77777777" w:rsidTr="2D1A14BC">
        <w:trPr>
          <w:trHeight w:val="634"/>
        </w:trPr>
        <w:tc>
          <w:tcPr>
            <w:tcW w:w="3815" w:type="dxa"/>
          </w:tcPr>
          <w:p w14:paraId="4DA098D7" w14:textId="0B76E1D6" w:rsidR="00873866" w:rsidRDefault="537DACD4" w:rsidP="0F2561BC">
            <w:pPr>
              <w:pStyle w:val="TableParagraph"/>
              <w:spacing w:before="76"/>
              <w:ind w:left="90" w:right="398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Ore dedicate alla Didattica Interattiva (TEL-DI – E-</w:t>
            </w:r>
            <w:proofErr w:type="spellStart"/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tivity</w:t>
            </w:r>
            <w:proofErr w:type="spellEnd"/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: interattive, a distanza, gestite dal docente o dal tutor)</w:t>
            </w:r>
          </w:p>
        </w:tc>
        <w:tc>
          <w:tcPr>
            <w:tcW w:w="9313" w:type="dxa"/>
          </w:tcPr>
          <w:p w14:paraId="25144CB8" w14:textId="4B2C1750" w:rsidR="00873866" w:rsidRDefault="1A787750" w:rsidP="00647D7C">
            <w:pPr>
              <w:pStyle w:val="TableParagraph"/>
              <w:ind w:left="576" w:hanging="283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6</w:t>
            </w:r>
          </w:p>
        </w:tc>
      </w:tr>
      <w:tr w:rsidR="5124FA53" w14:paraId="7B709A1E" w14:textId="77777777" w:rsidTr="2D1A14BC">
        <w:trPr>
          <w:trHeight w:val="300"/>
        </w:trPr>
        <w:tc>
          <w:tcPr>
            <w:tcW w:w="3815" w:type="dxa"/>
          </w:tcPr>
          <w:p w14:paraId="6F181FBC" w14:textId="37086078" w:rsidR="5124FA53" w:rsidRDefault="5124FA53" w:rsidP="0F2561BC">
            <w:pPr>
              <w:pStyle w:val="TableParagraph"/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Ore di aula virtuale (Incontri sincroni online per feedback e supporto orientativo agli studenti, gestit</w:t>
            </w:r>
            <w:r w:rsidR="4C7A67DF"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e</w:t>
            </w:r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dal docente o dal tutor)</w:t>
            </w:r>
          </w:p>
        </w:tc>
        <w:tc>
          <w:tcPr>
            <w:tcW w:w="9313" w:type="dxa"/>
          </w:tcPr>
          <w:p w14:paraId="287F5F8F" w14:textId="63ABF2C4" w:rsidR="2DF7E0FD" w:rsidRDefault="2DF7E0FD" w:rsidP="00647D7C">
            <w:pPr>
              <w:pStyle w:val="TableParagraph"/>
              <w:ind w:left="576" w:hanging="283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5124FA53" w14:paraId="6A36812F" w14:textId="77777777" w:rsidTr="2D1A14BC">
        <w:trPr>
          <w:trHeight w:val="300"/>
        </w:trPr>
        <w:tc>
          <w:tcPr>
            <w:tcW w:w="3815" w:type="dxa"/>
          </w:tcPr>
          <w:p w14:paraId="515CCB5D" w14:textId="57BC1B35" w:rsidR="5124FA53" w:rsidRDefault="5124FA53" w:rsidP="0F2561BC">
            <w:pPr>
              <w:pStyle w:val="TableParagraph"/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Ore di tutoraggio individuale (g</w:t>
            </w:r>
            <w:r w:rsidR="660EAE37" w:rsidRPr="0F2561BC">
              <w:rPr>
                <w:rFonts w:asciiTheme="minorHAnsi" w:eastAsiaTheme="minorEastAsia" w:hAnsiTheme="minorHAnsi" w:cstheme="minorBidi"/>
                <w:color w:val="000000" w:themeColor="text1"/>
              </w:rPr>
              <w:t>estite dal docente o dal tutor)</w:t>
            </w:r>
          </w:p>
        </w:tc>
        <w:tc>
          <w:tcPr>
            <w:tcW w:w="9313" w:type="dxa"/>
          </w:tcPr>
          <w:p w14:paraId="3203E2DA" w14:textId="5598E627" w:rsidR="48BF0CD8" w:rsidRDefault="48BF0CD8" w:rsidP="00647D7C">
            <w:pPr>
              <w:pStyle w:val="TableParagraph"/>
              <w:ind w:left="576" w:hanging="283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00873866" w14:paraId="104DD5DA" w14:textId="77777777" w:rsidTr="2D1A14BC">
        <w:trPr>
          <w:trHeight w:val="2554"/>
        </w:trPr>
        <w:tc>
          <w:tcPr>
            <w:tcW w:w="3815" w:type="dxa"/>
          </w:tcPr>
          <w:p w14:paraId="431593D6" w14:textId="77777777" w:rsidR="00873866" w:rsidRDefault="004112CE" w:rsidP="0F2561BC">
            <w:pPr>
              <w:pStyle w:val="TableParagraph"/>
              <w:spacing w:before="75" w:line="276" w:lineRule="auto"/>
              <w:ind w:left="90" w:right="448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Obiettivi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formativi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e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competenze</w:t>
            </w:r>
            <w:r w:rsidRPr="0F2561BC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 xml:space="preserve">in </w:t>
            </w:r>
            <w:r w:rsidRPr="0F2561BC">
              <w:rPr>
                <w:rFonts w:asciiTheme="minorHAnsi" w:eastAsiaTheme="minorEastAsia" w:hAnsiTheme="minorHAnsi" w:cstheme="minorBidi"/>
                <w:spacing w:val="-2"/>
              </w:rPr>
              <w:t>uscita</w:t>
            </w:r>
          </w:p>
        </w:tc>
        <w:tc>
          <w:tcPr>
            <w:tcW w:w="9313" w:type="dxa"/>
          </w:tcPr>
          <w:p w14:paraId="109831F6" w14:textId="1EC2BAA7" w:rsidR="00795F95" w:rsidRDefault="00647D7C" w:rsidP="00647D7C">
            <w:pPr>
              <w:pStyle w:val="TableParagraph"/>
              <w:spacing w:before="11"/>
              <w:ind w:left="576" w:hanging="283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Al termine del modulo, </w:t>
            </w:r>
            <w:r w:rsidR="00795F95">
              <w:rPr>
                <w:rFonts w:asciiTheme="minorHAnsi" w:eastAsiaTheme="minorEastAsia" w:hAnsiTheme="minorHAnsi" w:cstheme="minorBidi"/>
              </w:rPr>
              <w:t>gli studenti saranno in grado di</w:t>
            </w:r>
            <w:r w:rsidR="00A7065C">
              <w:rPr>
                <w:rFonts w:asciiTheme="minorHAnsi" w:eastAsiaTheme="minorEastAsia" w:hAnsiTheme="minorHAnsi" w:cstheme="minorBidi"/>
              </w:rPr>
              <w:t xml:space="preserve"> sviluppare competenze sui seguenti aspetti:</w:t>
            </w:r>
          </w:p>
          <w:p w14:paraId="1AB53D77" w14:textId="1BC3B4AF" w:rsidR="00A7065C" w:rsidRDefault="00720836" w:rsidP="00A7065C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Comprendere l</w:t>
            </w:r>
            <w:r w:rsidR="00A7065C">
              <w:rPr>
                <w:rFonts w:asciiTheme="minorHAnsi" w:eastAsiaTheme="minorEastAsia" w:hAnsiTheme="minorHAnsi" w:cstheme="minorBidi"/>
              </w:rPr>
              <w:t>’assoluto rilievo dei modelli organizzativi e operativi come leve e strumenti funzionali ad accrescere la qualità delle prestazioni di una PA</w:t>
            </w:r>
          </w:p>
          <w:p w14:paraId="7D584BFC" w14:textId="7B3AD2C8" w:rsidR="00A7065C" w:rsidRPr="00A7065C" w:rsidRDefault="00A7065C" w:rsidP="00A7065C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Theme="minorHAnsi" w:eastAsiaTheme="minorEastAsia" w:hAnsiTheme="minorHAnsi" w:cstheme="minorBidi"/>
              </w:rPr>
            </w:pPr>
            <w:r w:rsidRPr="00720836">
              <w:rPr>
                <w:rFonts w:asciiTheme="minorHAnsi" w:eastAsiaTheme="minorEastAsia" w:hAnsiTheme="minorHAnsi" w:cstheme="minorBidi"/>
              </w:rPr>
              <w:t>Esaminare approcci e strumenti per la gestione delle risorse umane nella P.A., con particolare attenzione ai processi di selezione, formazione, valutazione e sviluppo del personale.</w:t>
            </w:r>
          </w:p>
          <w:p w14:paraId="22F79CFA" w14:textId="24D7CF44" w:rsidR="00873866" w:rsidRPr="00720836" w:rsidRDefault="00720836" w:rsidP="00720836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Theme="minorHAnsi" w:eastAsiaTheme="minorEastAsia" w:hAnsiTheme="minorHAnsi" w:cstheme="minorBidi"/>
              </w:rPr>
            </w:pPr>
            <w:r w:rsidRPr="00720836">
              <w:rPr>
                <w:rFonts w:asciiTheme="minorHAnsi" w:eastAsiaTheme="minorEastAsia" w:hAnsiTheme="minorHAnsi" w:cstheme="minorBidi"/>
              </w:rPr>
              <w:t>Comprendere l’i</w:t>
            </w:r>
            <w:r w:rsidR="00A7065C" w:rsidRPr="00720836">
              <w:rPr>
                <w:rFonts w:asciiTheme="minorHAnsi" w:eastAsiaTheme="minorEastAsia" w:hAnsiTheme="minorHAnsi" w:cstheme="minorBidi"/>
              </w:rPr>
              <w:t>mportanza della visione e del cambiamento culturale al fine di rendere l’azione di una PA più incisiva, efficace, strategica e lungimirante.</w:t>
            </w:r>
          </w:p>
        </w:tc>
      </w:tr>
      <w:tr w:rsidR="00873866" w14:paraId="13F7E9DF" w14:textId="77777777" w:rsidTr="2D1A14BC">
        <w:trPr>
          <w:trHeight w:val="634"/>
        </w:trPr>
        <w:tc>
          <w:tcPr>
            <w:tcW w:w="3815" w:type="dxa"/>
          </w:tcPr>
          <w:p w14:paraId="1511B40F" w14:textId="77777777" w:rsidR="00873866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Argomenti</w:t>
            </w:r>
            <w:r w:rsidRPr="0F2561BC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del</w:t>
            </w:r>
            <w:r w:rsidRPr="0F2561BC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spacing w:val="-2"/>
              </w:rPr>
              <w:t>modulo</w:t>
            </w:r>
          </w:p>
        </w:tc>
        <w:tc>
          <w:tcPr>
            <w:tcW w:w="9313" w:type="dxa"/>
          </w:tcPr>
          <w:p w14:paraId="63356F33" w14:textId="0E6BB51F" w:rsidR="00873866" w:rsidRPr="00F62040" w:rsidRDefault="007A6849" w:rsidP="007A6849">
            <w:pPr>
              <w:pStyle w:val="TableParagraph"/>
              <w:spacing w:before="75"/>
              <w:ind w:right="181"/>
              <w:rPr>
                <w:rFonts w:asciiTheme="minorHAnsi" w:eastAsiaTheme="minorEastAsia" w:hAnsiTheme="minorHAnsi" w:cstheme="minorBidi"/>
                <w:i/>
                <w:iCs/>
              </w:rPr>
            </w:pPr>
            <w:r>
              <w:rPr>
                <w:rFonts w:asciiTheme="minorHAnsi" w:eastAsiaTheme="minorEastAsia" w:hAnsiTheme="minorHAnsi" w:cstheme="minorBidi"/>
              </w:rPr>
              <w:t>Gli argomenti del modulo sono i seguenti: 1.</w:t>
            </w:r>
            <w:r w:rsidRPr="007A6849">
              <w:rPr>
                <w:rFonts w:asciiTheme="minorHAnsi" w:eastAsiaTheme="minorEastAsia" w:hAnsiTheme="minorHAnsi" w:cstheme="minorBidi"/>
              </w:rPr>
              <w:t xml:space="preserve"> Fondamenti e contesto nella gestione delle risorse umane</w:t>
            </w:r>
            <w:r>
              <w:rPr>
                <w:rFonts w:asciiTheme="minorHAnsi" w:eastAsiaTheme="minorEastAsia" w:hAnsiTheme="minorHAnsi" w:cstheme="minorBidi"/>
              </w:rPr>
              <w:t>;</w:t>
            </w:r>
            <w:r w:rsidRPr="007A6849"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</w:rPr>
              <w:t>2. O</w:t>
            </w:r>
            <w:r w:rsidRPr="007A6849">
              <w:rPr>
                <w:rFonts w:asciiTheme="minorHAnsi" w:eastAsiaTheme="minorEastAsia" w:hAnsiTheme="minorHAnsi" w:cstheme="minorBidi"/>
              </w:rPr>
              <w:t>rganizzazione e alla programmazione del personale</w:t>
            </w:r>
            <w:r>
              <w:rPr>
                <w:rFonts w:asciiTheme="minorHAnsi" w:eastAsiaTheme="minorEastAsia" w:hAnsiTheme="minorHAnsi" w:cstheme="minorBidi"/>
              </w:rPr>
              <w:t>; 3</w:t>
            </w:r>
            <w:r w:rsidRPr="007A6849">
              <w:rPr>
                <w:rFonts w:asciiTheme="minorHAnsi" w:eastAsiaTheme="minorEastAsia" w:hAnsiTheme="minorHAnsi" w:cstheme="minorBidi"/>
              </w:rPr>
              <w:t xml:space="preserve">. </w:t>
            </w:r>
            <w:r>
              <w:rPr>
                <w:rFonts w:asciiTheme="minorHAnsi" w:eastAsiaTheme="minorEastAsia" w:hAnsiTheme="minorHAnsi" w:cstheme="minorBidi"/>
              </w:rPr>
              <w:t>S</w:t>
            </w:r>
            <w:r w:rsidRPr="007A6849">
              <w:rPr>
                <w:rFonts w:asciiTheme="minorHAnsi" w:eastAsiaTheme="minorEastAsia" w:hAnsiTheme="minorHAnsi" w:cstheme="minorBidi"/>
              </w:rPr>
              <w:t>viluppo e gestione delle competenze</w:t>
            </w:r>
            <w:r>
              <w:rPr>
                <w:rFonts w:asciiTheme="minorHAnsi" w:eastAsiaTheme="minorEastAsia" w:hAnsiTheme="minorHAnsi" w:cstheme="minorBidi"/>
              </w:rPr>
              <w:t>; 4</w:t>
            </w:r>
            <w:r w:rsidRPr="007A6849">
              <w:rPr>
                <w:rFonts w:asciiTheme="minorHAnsi" w:eastAsiaTheme="minorEastAsia" w:hAnsiTheme="minorHAnsi" w:cstheme="minorBidi"/>
              </w:rPr>
              <w:t xml:space="preserve">. </w:t>
            </w:r>
            <w:r>
              <w:rPr>
                <w:rFonts w:asciiTheme="minorHAnsi" w:eastAsiaTheme="minorEastAsia" w:hAnsiTheme="minorHAnsi" w:cstheme="minorBidi"/>
              </w:rPr>
              <w:t>P</w:t>
            </w:r>
            <w:r w:rsidRPr="007A6849">
              <w:rPr>
                <w:rFonts w:asciiTheme="minorHAnsi" w:eastAsiaTheme="minorEastAsia" w:hAnsiTheme="minorHAnsi" w:cstheme="minorBidi"/>
              </w:rPr>
              <w:t>erformance, valutazione e incentivazione</w:t>
            </w:r>
            <w:r>
              <w:rPr>
                <w:rFonts w:asciiTheme="minorHAnsi" w:eastAsiaTheme="minorEastAsia" w:hAnsiTheme="minorHAnsi" w:cstheme="minorBidi"/>
              </w:rPr>
              <w:t>; 5</w:t>
            </w:r>
            <w:r w:rsidRPr="007A6849">
              <w:rPr>
                <w:rFonts w:asciiTheme="minorHAnsi" w:eastAsiaTheme="minorEastAsia" w:hAnsiTheme="minorHAnsi" w:cstheme="minorBidi"/>
              </w:rPr>
              <w:t xml:space="preserve">. </w:t>
            </w:r>
            <w:r>
              <w:rPr>
                <w:rFonts w:asciiTheme="minorHAnsi" w:eastAsiaTheme="minorEastAsia" w:hAnsiTheme="minorHAnsi" w:cstheme="minorBidi"/>
              </w:rPr>
              <w:t>I</w:t>
            </w:r>
            <w:r w:rsidRPr="007A6849">
              <w:rPr>
                <w:rFonts w:asciiTheme="minorHAnsi" w:eastAsiaTheme="minorEastAsia" w:hAnsiTheme="minorHAnsi" w:cstheme="minorBidi"/>
              </w:rPr>
              <w:t>nnovazione digitale e smart working</w:t>
            </w:r>
            <w:r>
              <w:rPr>
                <w:rFonts w:asciiTheme="minorHAnsi" w:eastAsiaTheme="minorEastAsia" w:hAnsiTheme="minorHAnsi" w:cstheme="minorBidi"/>
              </w:rPr>
              <w:t>; 6. B</w:t>
            </w:r>
            <w:r w:rsidRPr="007A6849">
              <w:rPr>
                <w:rFonts w:asciiTheme="minorHAnsi" w:eastAsiaTheme="minorEastAsia" w:hAnsiTheme="minorHAnsi" w:cstheme="minorBidi"/>
              </w:rPr>
              <w:t>enessere organizzativo, inclusione e casi applicativi.</w:t>
            </w:r>
          </w:p>
        </w:tc>
      </w:tr>
      <w:tr w:rsidR="00873866" w14:paraId="048A34BF" w14:textId="77777777" w:rsidTr="2D1A14BC">
        <w:trPr>
          <w:trHeight w:val="874"/>
        </w:trPr>
        <w:tc>
          <w:tcPr>
            <w:tcW w:w="3815" w:type="dxa"/>
          </w:tcPr>
          <w:p w14:paraId="28D3CA88" w14:textId="77777777" w:rsidR="00873866" w:rsidRDefault="004112CE" w:rsidP="0F2561BC">
            <w:pPr>
              <w:pStyle w:val="TableParagraph"/>
              <w:spacing w:before="75"/>
              <w:ind w:left="90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t>Metodi</w:t>
            </w:r>
            <w:r w:rsidRPr="0F2561BC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e</w:t>
            </w:r>
            <w:r w:rsidRPr="0F2561BC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</w:rPr>
              <w:t>approcci</w:t>
            </w:r>
            <w:r w:rsidRPr="0F2561BC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0F2561BC">
              <w:rPr>
                <w:rFonts w:asciiTheme="minorHAnsi" w:eastAsiaTheme="minorEastAsia" w:hAnsiTheme="minorHAnsi" w:cstheme="minorBidi"/>
                <w:spacing w:val="-2"/>
              </w:rPr>
              <w:t>didattici</w:t>
            </w:r>
          </w:p>
        </w:tc>
        <w:tc>
          <w:tcPr>
            <w:tcW w:w="9313" w:type="dxa"/>
          </w:tcPr>
          <w:p w14:paraId="600D97EC" w14:textId="648AA43B" w:rsidR="00873866" w:rsidRPr="00F62040" w:rsidRDefault="00FD2D84" w:rsidP="000A2CE3">
            <w:pPr>
              <w:pStyle w:val="TableParagraph"/>
              <w:spacing w:before="74"/>
              <w:ind w:left="576" w:hanging="283"/>
              <w:rPr>
                <w:rFonts w:asciiTheme="minorHAnsi" w:eastAsiaTheme="minorEastAsia" w:hAnsiTheme="minorHAnsi" w:cstheme="minorBidi"/>
              </w:rPr>
            </w:pPr>
            <w:r w:rsidRPr="00F62040">
              <w:rPr>
                <w:rFonts w:asciiTheme="minorHAnsi" w:eastAsiaTheme="minorEastAsia" w:hAnsiTheme="minorHAnsi" w:cstheme="minorBidi"/>
              </w:rPr>
              <w:t xml:space="preserve">Il modulo utilizzerà </w:t>
            </w:r>
            <w:r w:rsidR="0036097D" w:rsidRPr="00F62040">
              <w:rPr>
                <w:rFonts w:asciiTheme="minorHAnsi" w:eastAsiaTheme="minorEastAsia" w:hAnsiTheme="minorHAnsi" w:cstheme="minorBidi"/>
              </w:rPr>
              <w:t xml:space="preserve">principalmente </w:t>
            </w:r>
            <w:r w:rsidR="004112CE" w:rsidRPr="00F62040">
              <w:rPr>
                <w:rFonts w:asciiTheme="minorHAnsi" w:eastAsiaTheme="minorEastAsia" w:hAnsiTheme="minorHAnsi" w:cstheme="minorBidi"/>
              </w:rPr>
              <w:t>lezion</w:t>
            </w:r>
            <w:r w:rsidR="00EA0A82" w:rsidRPr="00F62040">
              <w:rPr>
                <w:rFonts w:asciiTheme="minorHAnsi" w:eastAsiaTheme="minorEastAsia" w:hAnsiTheme="minorHAnsi" w:cstheme="minorBidi"/>
              </w:rPr>
              <w:t>i</w:t>
            </w:r>
            <w:r w:rsidR="004112CE" w:rsidRPr="00F62040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="004112CE" w:rsidRPr="00F62040">
              <w:rPr>
                <w:rFonts w:asciiTheme="minorHAnsi" w:eastAsiaTheme="minorEastAsia" w:hAnsiTheme="minorHAnsi" w:cstheme="minorBidi"/>
              </w:rPr>
              <w:t>frontal</w:t>
            </w:r>
            <w:r w:rsidR="00EA0A82" w:rsidRPr="00F62040">
              <w:rPr>
                <w:rFonts w:asciiTheme="minorHAnsi" w:eastAsiaTheme="minorEastAsia" w:hAnsiTheme="minorHAnsi" w:cstheme="minorBidi"/>
              </w:rPr>
              <w:t xml:space="preserve">i </w:t>
            </w:r>
            <w:proofErr w:type="spellStart"/>
            <w:proofErr w:type="gramStart"/>
            <w:r w:rsidR="007A6849">
              <w:rPr>
                <w:rFonts w:asciiTheme="minorHAnsi" w:eastAsiaTheme="minorEastAsia" w:hAnsiTheme="minorHAnsi" w:cstheme="minorBidi"/>
              </w:rPr>
              <w:t>pre</w:t>
            </w:r>
            <w:proofErr w:type="spellEnd"/>
            <w:r w:rsidR="007A6849">
              <w:rPr>
                <w:rFonts w:asciiTheme="minorHAnsi" w:eastAsiaTheme="minorEastAsia" w:hAnsiTheme="minorHAnsi" w:cstheme="minorBidi"/>
              </w:rPr>
              <w:t>-registrate</w:t>
            </w:r>
            <w:proofErr w:type="gramEnd"/>
            <w:r w:rsidR="007A6849">
              <w:rPr>
                <w:rFonts w:asciiTheme="minorHAnsi" w:eastAsiaTheme="minorEastAsia" w:hAnsiTheme="minorHAnsi" w:cstheme="minorBidi"/>
              </w:rPr>
              <w:t xml:space="preserve"> </w:t>
            </w:r>
            <w:r w:rsidR="007E2DF7" w:rsidRPr="00F62040">
              <w:rPr>
                <w:rFonts w:asciiTheme="minorHAnsi" w:eastAsiaTheme="minorEastAsia" w:hAnsiTheme="minorHAnsi" w:cstheme="minorBidi"/>
              </w:rPr>
              <w:t xml:space="preserve">supportate da presentazioni </w:t>
            </w:r>
            <w:r w:rsidR="0036097D" w:rsidRPr="00F62040">
              <w:rPr>
                <w:rFonts w:asciiTheme="minorHAnsi" w:eastAsiaTheme="minorEastAsia" w:hAnsiTheme="minorHAnsi" w:cstheme="minorBidi"/>
              </w:rPr>
              <w:t xml:space="preserve">ed </w:t>
            </w:r>
            <w:r w:rsidR="00196947" w:rsidRPr="00F62040">
              <w:rPr>
                <w:rFonts w:asciiTheme="minorHAnsi" w:eastAsiaTheme="minorEastAsia" w:hAnsiTheme="minorHAnsi" w:cstheme="minorBidi"/>
              </w:rPr>
              <w:t xml:space="preserve">erogate in modalità </w:t>
            </w:r>
            <w:r w:rsidR="009C7E33" w:rsidRPr="00F62040">
              <w:rPr>
                <w:rFonts w:asciiTheme="minorHAnsi" w:eastAsiaTheme="minorEastAsia" w:hAnsiTheme="minorHAnsi" w:cstheme="minorBidi"/>
              </w:rPr>
              <w:t xml:space="preserve">online </w:t>
            </w:r>
            <w:r w:rsidR="00196947" w:rsidRPr="00F62040">
              <w:rPr>
                <w:rFonts w:asciiTheme="minorHAnsi" w:eastAsiaTheme="minorEastAsia" w:hAnsiTheme="minorHAnsi" w:cstheme="minorBidi"/>
              </w:rPr>
              <w:t>asincrona.</w:t>
            </w:r>
            <w:r w:rsidR="009C7E33" w:rsidRPr="00F62040">
              <w:rPr>
                <w:rFonts w:asciiTheme="minorHAnsi" w:eastAsiaTheme="minorEastAsia" w:hAnsiTheme="minorHAnsi" w:cstheme="minorBidi"/>
              </w:rPr>
              <w:t xml:space="preserve"> Una parte minoritaria delle lezioni online sarà dedicata ad e-</w:t>
            </w:r>
            <w:proofErr w:type="spellStart"/>
            <w:r w:rsidR="009C7E33" w:rsidRPr="00F62040">
              <w:rPr>
                <w:rFonts w:asciiTheme="minorHAnsi" w:eastAsiaTheme="minorEastAsia" w:hAnsiTheme="minorHAnsi" w:cstheme="minorBidi"/>
              </w:rPr>
              <w:t>tivities</w:t>
            </w:r>
            <w:proofErr w:type="spellEnd"/>
            <w:r w:rsidR="007A6849">
              <w:rPr>
                <w:rFonts w:asciiTheme="minorHAnsi" w:eastAsiaTheme="minorEastAsia" w:hAnsiTheme="minorHAnsi" w:cstheme="minorBidi"/>
              </w:rPr>
              <w:t xml:space="preserve"> asincrone</w:t>
            </w:r>
            <w:r w:rsidR="009C7E33" w:rsidRPr="00F62040">
              <w:rPr>
                <w:rFonts w:asciiTheme="minorHAnsi" w:eastAsiaTheme="minorEastAsia" w:hAnsiTheme="minorHAnsi" w:cstheme="minorBidi"/>
              </w:rPr>
              <w:t xml:space="preserve">. </w:t>
            </w:r>
            <w:r w:rsidR="0036097D" w:rsidRPr="00F62040">
              <w:rPr>
                <w:rFonts w:asciiTheme="minorHAnsi" w:eastAsiaTheme="minorEastAsia" w:hAnsiTheme="minorHAnsi" w:cstheme="minorBidi"/>
              </w:rPr>
              <w:t xml:space="preserve">Le lezioni in presenza </w:t>
            </w:r>
            <w:r w:rsidR="009C7E33" w:rsidRPr="00F62040">
              <w:rPr>
                <w:rFonts w:asciiTheme="minorHAnsi" w:eastAsiaTheme="minorEastAsia" w:hAnsiTheme="minorHAnsi" w:cstheme="minorBidi"/>
              </w:rPr>
              <w:t xml:space="preserve">utilizzeranno invece l’analisi di casi di studio </w:t>
            </w:r>
            <w:r w:rsidR="000A2CE3" w:rsidRPr="00F62040">
              <w:rPr>
                <w:rFonts w:asciiTheme="minorHAnsi" w:eastAsiaTheme="minorEastAsia" w:hAnsiTheme="minorHAnsi" w:cstheme="minorBidi"/>
              </w:rPr>
              <w:t xml:space="preserve">e </w:t>
            </w:r>
            <w:r w:rsidR="007A6849">
              <w:rPr>
                <w:rFonts w:asciiTheme="minorHAnsi" w:eastAsiaTheme="minorEastAsia" w:hAnsiTheme="minorHAnsi" w:cstheme="minorBidi"/>
              </w:rPr>
              <w:t xml:space="preserve">la discussione attiva tra </w:t>
            </w:r>
            <w:r w:rsidR="000A2CE3" w:rsidRPr="00F62040">
              <w:rPr>
                <w:rFonts w:asciiTheme="minorHAnsi" w:eastAsiaTheme="minorEastAsia" w:hAnsiTheme="minorHAnsi" w:cstheme="minorBidi"/>
              </w:rPr>
              <w:t>i discenti</w:t>
            </w:r>
            <w:r w:rsidR="007A6849">
              <w:rPr>
                <w:rFonts w:asciiTheme="minorHAnsi" w:eastAsiaTheme="minorEastAsia" w:hAnsiTheme="minorHAnsi" w:cstheme="minorBidi"/>
              </w:rPr>
              <w:t xml:space="preserve"> e il docente.</w:t>
            </w:r>
          </w:p>
        </w:tc>
      </w:tr>
      <w:tr w:rsidR="00873866" w14:paraId="61A7F7F3" w14:textId="77777777" w:rsidTr="2D1A14BC">
        <w:trPr>
          <w:trHeight w:val="5914"/>
        </w:trPr>
        <w:tc>
          <w:tcPr>
            <w:tcW w:w="3815" w:type="dxa"/>
          </w:tcPr>
          <w:p w14:paraId="4516281A" w14:textId="3FD1708A" w:rsidR="00873866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</w:rPr>
            </w:pPr>
            <w:r w:rsidRPr="0F2561BC">
              <w:rPr>
                <w:rFonts w:asciiTheme="minorHAnsi" w:eastAsiaTheme="minorEastAsia" w:hAnsiTheme="minorHAnsi" w:cstheme="minorBidi"/>
              </w:rPr>
              <w:lastRenderedPageBreak/>
              <w:t xml:space="preserve">Struttura del </w:t>
            </w:r>
            <w:r w:rsidRPr="0F2561BC">
              <w:rPr>
                <w:rFonts w:asciiTheme="minorHAnsi" w:eastAsiaTheme="minorEastAsia" w:hAnsiTheme="minorHAnsi" w:cstheme="minorBidi"/>
                <w:spacing w:val="-2"/>
              </w:rPr>
              <w:t>modulo</w:t>
            </w:r>
            <w:r w:rsidR="00431C8B" w:rsidRPr="0F2561BC">
              <w:rPr>
                <w:rFonts w:asciiTheme="minorHAnsi" w:eastAsiaTheme="minorEastAsia" w:hAnsiTheme="minorHAnsi" w:cstheme="minorBidi"/>
                <w:spacing w:val="-2"/>
              </w:rPr>
              <w:t xml:space="preserve"> con indicazione delle ore per ciascuna attività</w:t>
            </w:r>
          </w:p>
        </w:tc>
        <w:tc>
          <w:tcPr>
            <w:tcW w:w="9313" w:type="dxa"/>
          </w:tcPr>
          <w:p w14:paraId="7C6FEECB" w14:textId="77777777" w:rsidR="00643A52" w:rsidRDefault="00643A52" w:rsidP="007A6849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2648422A" w14:textId="77777777" w:rsidR="00643A52" w:rsidRPr="00643A52" w:rsidRDefault="00643A52" w:rsidP="00643A52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00643A52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>Sezione 1 – Fondamenti e contesto della gestione delle risorse umane nella PA</w:t>
            </w:r>
          </w:p>
          <w:p w14:paraId="3D1F1B93" w14:textId="77777777" w:rsidR="00643A52" w:rsidRPr="00643A52" w:rsidRDefault="00643A52" w:rsidP="00643A52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643A52">
              <w:rPr>
                <w:rFonts w:asciiTheme="minorHAnsi" w:eastAsiaTheme="minorEastAsia" w:hAnsiTheme="minorHAnsi" w:cstheme="minorBidi"/>
                <w:i/>
                <w:iCs/>
              </w:rPr>
              <w:t>La sezione introduce il corso e fornisce un inquadramento generale della gestione delle risorse umane nel settore pubblico. Vengono ripercorse le origini e l’evoluzione della disciplina, con particolare attenzione ai processi di contrattualizzazione e alle trasformazioni del lavoro pubblico. Si analizza inoltre il peso della Pubblica Amministrazione a livello nazionale ed europeo e il ruolo strategico dell’HR manager nelle organizzazioni pubbliche. La sezione si conclude con una verifica delle conoscenze acquisite.</w:t>
            </w:r>
          </w:p>
          <w:p w14:paraId="2ADEAD9F" w14:textId="77777777" w:rsidR="00643A52" w:rsidRPr="007A6849" w:rsidRDefault="00643A52" w:rsidP="007A6849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7CC0214D" w14:textId="20E92110" w:rsidR="6D0E1ECD" w:rsidRDefault="6D0E1ECD" w:rsidP="02847EB3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E-</w:t>
            </w:r>
            <w:proofErr w:type="spellStart"/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tivity</w:t>
            </w:r>
            <w:proofErr w:type="spellEnd"/>
          </w:p>
          <w:p w14:paraId="2A0BCBFC" w14:textId="48DDEC3E" w:rsidR="02847EB3" w:rsidRDefault="02847EB3" w:rsidP="02847EB3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7D220068" w14:textId="77777777" w:rsidR="00643A52" w:rsidRPr="00643A52" w:rsidRDefault="00643A52" w:rsidP="00643A52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00643A52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>Sezione 2 – Organizzazione del lavoro e gestione del personale nella PA</w:t>
            </w:r>
          </w:p>
          <w:p w14:paraId="1C76A01A" w14:textId="77777777" w:rsidR="00643A52" w:rsidRPr="00643A52" w:rsidRDefault="00643A52" w:rsidP="00643A52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643A52">
              <w:rPr>
                <w:rFonts w:asciiTheme="minorHAnsi" w:eastAsiaTheme="minorEastAsia" w:hAnsiTheme="minorHAnsi" w:cstheme="minorBidi"/>
                <w:i/>
                <w:iCs/>
              </w:rPr>
              <w:t>Questa sezione approfondisce le modalità di organizzazione del lavoro nella Pubblica Amministrazione, includendo modelli organizzativi tradizionali e innovativi. Vengono trattati i processi di pianificazione del fabbisogno di personale, il reclutamento e la selezione (anche in chiave digitale), nonché la gestione delle carriere, della mobilità e delle relazioni sindacali. È prevista un’attività di autovalutazione finale.</w:t>
            </w:r>
          </w:p>
          <w:p w14:paraId="55301E22" w14:textId="77777777" w:rsidR="00643A52" w:rsidRDefault="00643A52" w:rsidP="02847EB3">
            <w:pPr>
              <w:pStyle w:val="TableParagraph"/>
              <w:spacing w:before="1" w:line="259" w:lineRule="auto"/>
              <w:ind w:left="293" w:right="209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00CC75A5" w14:textId="3200D592" w:rsidR="63D50EB0" w:rsidRDefault="63D50EB0" w:rsidP="02847EB3">
            <w:pPr>
              <w:pStyle w:val="TableParagraph"/>
              <w:spacing w:before="1" w:line="259" w:lineRule="auto"/>
              <w:ind w:left="293" w:right="209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E-</w:t>
            </w:r>
            <w:proofErr w:type="spellStart"/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tivity</w:t>
            </w:r>
            <w:proofErr w:type="spellEnd"/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 xml:space="preserve"> </w:t>
            </w:r>
          </w:p>
          <w:p w14:paraId="25F9311A" w14:textId="789EC2AC" w:rsidR="02847EB3" w:rsidRDefault="02847EB3" w:rsidP="02847EB3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7391808F" w14:textId="5D236A34" w:rsidR="02847EB3" w:rsidRDefault="02847EB3" w:rsidP="02847EB3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6886DC69" w14:textId="77777777" w:rsidR="00643A52" w:rsidRPr="00643A52" w:rsidRDefault="00643A52" w:rsidP="00643A52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00643A52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>Sezione 3 – Sviluppo delle competenze e attrattività della PA</w:t>
            </w:r>
          </w:p>
          <w:p w14:paraId="18C2A4C1" w14:textId="77777777" w:rsidR="00643A52" w:rsidRPr="00643A52" w:rsidRDefault="00643A52" w:rsidP="00643A52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643A52">
              <w:rPr>
                <w:rFonts w:asciiTheme="minorHAnsi" w:eastAsiaTheme="minorEastAsia" w:hAnsiTheme="minorHAnsi" w:cstheme="minorBidi"/>
                <w:i/>
                <w:iCs/>
              </w:rPr>
              <w:t>La sezione si concentra sulla gestione e lo sviluppo delle competenze, affrontando il tema della formazione nelle sue diverse forme (iniziale, continua e obbligatoria). Viene inoltre analizzato il ruolo dell’</w:t>
            </w:r>
            <w:proofErr w:type="spellStart"/>
            <w:r w:rsidRPr="00643A52">
              <w:rPr>
                <w:rFonts w:asciiTheme="minorHAnsi" w:eastAsiaTheme="minorEastAsia" w:hAnsiTheme="minorHAnsi" w:cstheme="minorBidi"/>
                <w:i/>
                <w:iCs/>
              </w:rPr>
              <w:t>employer</w:t>
            </w:r>
            <w:proofErr w:type="spellEnd"/>
            <w:r w:rsidRPr="00643A52">
              <w:rPr>
                <w:rFonts w:asciiTheme="minorHAnsi" w:eastAsiaTheme="minorEastAsia" w:hAnsiTheme="minorHAnsi" w:cstheme="minorBidi"/>
                <w:i/>
                <w:iCs/>
              </w:rPr>
              <w:t xml:space="preserve"> branding per aumentare l’attrattività della PA, in particolare verso i giovani talenti. Le attività includono momenti di verifica e una riflessione partecipata sulle strategie più efficaci.</w:t>
            </w:r>
          </w:p>
          <w:p w14:paraId="5A36A0DA" w14:textId="77777777" w:rsidR="00643A52" w:rsidRDefault="00643A52" w:rsidP="02847EB3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3294BE8A" w14:textId="7CC5B12B" w:rsidR="06CCD747" w:rsidRDefault="06CCD747" w:rsidP="02847EB3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E-</w:t>
            </w:r>
            <w:proofErr w:type="spellStart"/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tivity</w:t>
            </w:r>
            <w:proofErr w:type="spellEnd"/>
          </w:p>
          <w:p w14:paraId="61B913EF" w14:textId="279CBB9D" w:rsidR="02847EB3" w:rsidRDefault="02847EB3" w:rsidP="02847EB3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097FEBB1" w14:textId="77777777" w:rsidR="00643A52" w:rsidRPr="00643A52" w:rsidRDefault="00643A52" w:rsidP="00643A52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00643A52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>Sezione 4 – Valutazione della performance e sistemi incentivanti</w:t>
            </w:r>
          </w:p>
          <w:p w14:paraId="0B819256" w14:textId="77777777" w:rsidR="00643A52" w:rsidRPr="00643A52" w:rsidRDefault="00643A52" w:rsidP="00643A52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643A52">
              <w:rPr>
                <w:rFonts w:asciiTheme="minorHAnsi" w:eastAsiaTheme="minorEastAsia" w:hAnsiTheme="minorHAnsi" w:cstheme="minorBidi"/>
                <w:i/>
                <w:iCs/>
              </w:rPr>
              <w:t>In questa sezione vengono illustrati i principali strumenti per la valutazione delle performance nella Pubblica Amministrazione. Si analizzano il ciclo della performance, gli indicatori e il concetto di valore pubblico, insieme alle modalità di valutazione individuale e di gruppo. Viene inoltre approfondito il ruolo degli organismi di valutazione e dei sistemi di incentivazione e merito. La sezione include attività di verifica e un compito applicativo di progettazione.</w:t>
            </w:r>
          </w:p>
          <w:p w14:paraId="6691C26A" w14:textId="77777777" w:rsidR="00643A52" w:rsidRDefault="00643A52" w:rsidP="02847EB3">
            <w:pPr>
              <w:pStyle w:val="TableParagraph"/>
              <w:spacing w:before="1" w:line="259" w:lineRule="auto"/>
              <w:ind w:left="293" w:right="209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4686C99A" w14:textId="00DC554C" w:rsidR="1C84D4D4" w:rsidRDefault="1C84D4D4" w:rsidP="02847EB3">
            <w:pPr>
              <w:pStyle w:val="TableParagraph"/>
              <w:spacing w:before="1" w:line="259" w:lineRule="auto"/>
              <w:ind w:left="293" w:right="209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E-</w:t>
            </w:r>
            <w:proofErr w:type="spellStart"/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tivity</w:t>
            </w:r>
            <w:proofErr w:type="spellEnd"/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 xml:space="preserve"> </w:t>
            </w:r>
          </w:p>
          <w:p w14:paraId="2E14CFC5" w14:textId="2E684295" w:rsidR="43F304F6" w:rsidRDefault="43F304F6" w:rsidP="02847EB3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E-</w:t>
            </w:r>
            <w:proofErr w:type="spellStart"/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tivity</w:t>
            </w:r>
            <w:proofErr w:type="spellEnd"/>
          </w:p>
          <w:p w14:paraId="39C780BE" w14:textId="34F5F9C9" w:rsidR="02847EB3" w:rsidRDefault="02847EB3" w:rsidP="02847EB3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  <w:color w:val="EE0000"/>
              </w:rPr>
            </w:pPr>
          </w:p>
          <w:p w14:paraId="1D947AD6" w14:textId="77777777" w:rsidR="00643A52" w:rsidRPr="00643A52" w:rsidRDefault="00643A52" w:rsidP="00643A52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00643A52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>Sezione 5 – Transizione digitale e gestione delle risorse umane</w:t>
            </w:r>
          </w:p>
          <w:p w14:paraId="64391AE3" w14:textId="77777777" w:rsidR="00643A52" w:rsidRPr="00643A52" w:rsidRDefault="00643A52" w:rsidP="00643A52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643A52">
              <w:rPr>
                <w:rFonts w:asciiTheme="minorHAnsi" w:eastAsiaTheme="minorEastAsia" w:hAnsiTheme="minorHAnsi" w:cstheme="minorBidi"/>
                <w:i/>
                <w:iCs/>
              </w:rPr>
              <w:t>La sezione esplora l’impatto della digitalizzazione sulla gestione delle risorse umane nella PA. Vengono introdotti il quadro normativo di riferimento (CAD) e il ruolo degli organismi e delle figure responsabili della transizione digitale. Si analizzano strumenti e tecnologie per la gestione del personale, insieme a casi pratici e strategie operative per l’HR manager in contesti digitalizzati.</w:t>
            </w:r>
          </w:p>
          <w:p w14:paraId="56D57FE9" w14:textId="77777777" w:rsidR="00643A52" w:rsidRDefault="00643A52" w:rsidP="2D1A14BC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7C7D6FE4" w14:textId="33E9C775" w:rsidR="28DA97A4" w:rsidRDefault="28DA97A4" w:rsidP="2D1A14BC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2D1A14BC">
              <w:rPr>
                <w:rFonts w:asciiTheme="minorHAnsi" w:eastAsiaTheme="minorEastAsia" w:hAnsiTheme="minorHAnsi" w:cstheme="minorBidi"/>
                <w:i/>
                <w:iCs/>
              </w:rPr>
              <w:t>E-</w:t>
            </w:r>
            <w:proofErr w:type="spellStart"/>
            <w:r w:rsidRPr="2D1A14BC">
              <w:rPr>
                <w:rFonts w:asciiTheme="minorHAnsi" w:eastAsiaTheme="minorEastAsia" w:hAnsiTheme="minorHAnsi" w:cstheme="minorBidi"/>
                <w:i/>
                <w:iCs/>
              </w:rPr>
              <w:t>tivity</w:t>
            </w:r>
            <w:proofErr w:type="spellEnd"/>
            <w:r w:rsidRPr="2D1A14BC">
              <w:rPr>
                <w:rFonts w:asciiTheme="minorHAnsi" w:eastAsiaTheme="minorEastAsia" w:hAnsiTheme="minorHAnsi" w:cstheme="minorBidi"/>
                <w:i/>
                <w:iCs/>
              </w:rPr>
              <w:t xml:space="preserve"> </w:t>
            </w:r>
          </w:p>
          <w:p w14:paraId="6BD64C54" w14:textId="7D56C2BB" w:rsidR="02847EB3" w:rsidRDefault="02847EB3" w:rsidP="02847EB3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6D85C731" w14:textId="77777777" w:rsidR="00643A52" w:rsidRPr="00643A52" w:rsidRDefault="00643A52" w:rsidP="00643A52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00643A52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>Sezione 6 – Benessere organizzativo, inclusione e sviluppo sostenibile</w:t>
            </w:r>
          </w:p>
          <w:p w14:paraId="40378EEC" w14:textId="77777777" w:rsidR="00643A52" w:rsidRPr="00643A52" w:rsidRDefault="00643A52" w:rsidP="00643A52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643A52">
              <w:rPr>
                <w:rFonts w:asciiTheme="minorHAnsi" w:eastAsiaTheme="minorEastAsia" w:hAnsiTheme="minorHAnsi" w:cstheme="minorBidi"/>
                <w:i/>
                <w:iCs/>
              </w:rPr>
              <w:t>Questa sezione affronta il tema della salute organizzativa e del benessere nella Pubblica Amministrazione, alla luce delle principali fonti normative e linee guida ministeriali. Vengono trattati i temi della diversità e dell’inclusione e il loro impatto sulle performance organizzative. Le attività proposte stimolano una riflessione sulle strategie per rendere le organizzazioni pubbliche più efficaci, attrattive e orientate al valore per la collettività.</w:t>
            </w:r>
          </w:p>
          <w:p w14:paraId="291FAC11" w14:textId="77777777" w:rsidR="00643A52" w:rsidRDefault="00643A52" w:rsidP="02847EB3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2E63DD5C" w14:textId="0A11AF3B" w:rsidR="46674443" w:rsidRDefault="46674443" w:rsidP="02847EB3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E-</w:t>
            </w:r>
            <w:proofErr w:type="spellStart"/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tivit</w:t>
            </w:r>
            <w:r w:rsidR="00643A52">
              <w:rPr>
                <w:rFonts w:asciiTheme="minorHAnsi" w:eastAsiaTheme="minorEastAsia" w:hAnsiTheme="minorHAnsi" w:cstheme="minorBidi"/>
                <w:i/>
                <w:iCs/>
              </w:rPr>
              <w:t>y</w:t>
            </w:r>
            <w:proofErr w:type="spellEnd"/>
          </w:p>
          <w:p w14:paraId="239C4278" w14:textId="67E06CB9" w:rsidR="46674443" w:rsidRDefault="46674443" w:rsidP="02847EB3">
            <w:pPr>
              <w:pStyle w:val="TableParagraph"/>
              <w:spacing w:before="1" w:line="259" w:lineRule="auto"/>
              <w:ind w:left="293" w:right="209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E-</w:t>
            </w:r>
            <w:proofErr w:type="spellStart"/>
            <w:r w:rsidRPr="02847EB3">
              <w:rPr>
                <w:rFonts w:asciiTheme="minorHAnsi" w:eastAsiaTheme="minorEastAsia" w:hAnsiTheme="minorHAnsi" w:cstheme="minorBidi"/>
                <w:i/>
                <w:iCs/>
              </w:rPr>
              <w:t>tivity</w:t>
            </w:r>
            <w:proofErr w:type="spellEnd"/>
          </w:p>
          <w:p w14:paraId="61413F5D" w14:textId="451CDE56" w:rsidR="02847EB3" w:rsidRDefault="02847EB3" w:rsidP="02847EB3">
            <w:pPr>
              <w:pStyle w:val="TableParagraph"/>
              <w:spacing w:before="1" w:line="259" w:lineRule="auto"/>
              <w:ind w:left="293" w:right="209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21CD7255" w14:textId="4876479B" w:rsidR="007A6849" w:rsidRDefault="007A6849" w:rsidP="007A6849">
            <w:pPr>
              <w:pStyle w:val="TableParagraph"/>
              <w:spacing w:before="1" w:line="259" w:lineRule="auto"/>
              <w:ind w:left="576" w:right="209" w:hanging="283"/>
              <w:rPr>
                <w:rFonts w:asciiTheme="minorHAnsi" w:eastAsiaTheme="minorEastAsia" w:hAnsiTheme="minorHAnsi" w:cstheme="minorBidi"/>
                <w:i/>
                <w:iCs/>
              </w:rPr>
            </w:pPr>
          </w:p>
        </w:tc>
      </w:tr>
      <w:tr w:rsidR="00873866" w14:paraId="5406459F" w14:textId="77777777" w:rsidTr="2D1A14BC">
        <w:trPr>
          <w:trHeight w:val="634"/>
        </w:trPr>
        <w:tc>
          <w:tcPr>
            <w:tcW w:w="3815" w:type="dxa"/>
          </w:tcPr>
          <w:p w14:paraId="03E01F27" w14:textId="77777777" w:rsidR="00873866" w:rsidRPr="00592191" w:rsidRDefault="004112CE" w:rsidP="4E6D0C85">
            <w:pPr>
              <w:pStyle w:val="TableParagraph"/>
              <w:spacing w:before="75"/>
              <w:ind w:left="90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592191">
              <w:rPr>
                <w:rFonts w:asciiTheme="minorHAnsi" w:eastAsiaTheme="minorEastAsia" w:hAnsiTheme="minorHAnsi" w:cstheme="minorBidi"/>
              </w:rPr>
              <w:t>Tipologia di materiali e risorse didatti</w:t>
            </w:r>
            <w:r w:rsidRPr="00592191">
              <w:rPr>
                <w:rFonts w:asciiTheme="minorHAnsi" w:eastAsiaTheme="minorEastAsia" w:hAnsiTheme="minorHAnsi" w:cstheme="minorBidi"/>
                <w:i/>
                <w:iCs/>
              </w:rPr>
              <w:t>che</w:t>
            </w:r>
          </w:p>
        </w:tc>
        <w:tc>
          <w:tcPr>
            <w:tcW w:w="9313" w:type="dxa"/>
          </w:tcPr>
          <w:p w14:paraId="4817CC52" w14:textId="06909580" w:rsidR="00873866" w:rsidRPr="00592191" w:rsidRDefault="56229E3E" w:rsidP="4E6D0C85">
            <w:pPr>
              <w:spacing w:before="240" w:after="240"/>
              <w:rPr>
                <w:rFonts w:asciiTheme="minorHAnsi" w:eastAsiaTheme="minorEastAsia" w:hAnsiTheme="minorHAnsi" w:cstheme="minorBidi"/>
              </w:rPr>
            </w:pPr>
            <w:r w:rsidRPr="00592191">
              <w:rPr>
                <w:rFonts w:asciiTheme="minorHAnsi" w:eastAsiaTheme="minorEastAsia" w:hAnsiTheme="minorHAnsi" w:cstheme="minorBidi"/>
              </w:rPr>
              <w:t>Nei video, il docente mostra slide con parole chiave, tabelle/grafici/ risultati e dati di sintesi sui concetti spiegati. I video sono correlati delle slide prodotte</w:t>
            </w:r>
            <w:r w:rsidR="007A6849" w:rsidRPr="00592191">
              <w:rPr>
                <w:rFonts w:asciiTheme="minorHAnsi" w:eastAsiaTheme="minorEastAsia" w:hAnsiTheme="minorHAnsi" w:cstheme="minorBidi"/>
              </w:rPr>
              <w:t>.</w:t>
            </w:r>
          </w:p>
        </w:tc>
      </w:tr>
      <w:tr w:rsidR="00873866" w14:paraId="618E51F7" w14:textId="77777777" w:rsidTr="2D1A14BC">
        <w:trPr>
          <w:trHeight w:val="634"/>
        </w:trPr>
        <w:tc>
          <w:tcPr>
            <w:tcW w:w="3815" w:type="dxa"/>
          </w:tcPr>
          <w:p w14:paraId="0FA9CAD1" w14:textId="77777777" w:rsidR="00873866" w:rsidRPr="00596304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  <w:highlight w:val="lightGray"/>
              </w:rPr>
            </w:pPr>
            <w:r w:rsidRPr="00592191">
              <w:rPr>
                <w:rFonts w:asciiTheme="minorHAnsi" w:eastAsiaTheme="minorEastAsia" w:hAnsiTheme="minorHAnsi" w:cstheme="minorBidi"/>
              </w:rPr>
              <w:lastRenderedPageBreak/>
              <w:t>Elenco</w:t>
            </w:r>
            <w:r w:rsidRPr="00592191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00592191">
              <w:rPr>
                <w:rFonts w:asciiTheme="minorHAnsi" w:eastAsiaTheme="minorEastAsia" w:hAnsiTheme="minorHAnsi" w:cstheme="minorBidi"/>
              </w:rPr>
              <w:t>delle e-</w:t>
            </w:r>
            <w:proofErr w:type="spellStart"/>
            <w:r w:rsidRPr="00592191">
              <w:rPr>
                <w:rFonts w:asciiTheme="minorHAnsi" w:eastAsiaTheme="minorEastAsia" w:hAnsiTheme="minorHAnsi" w:cstheme="minorBidi"/>
                <w:spacing w:val="-2"/>
              </w:rPr>
              <w:t>tivity</w:t>
            </w:r>
            <w:proofErr w:type="spellEnd"/>
          </w:p>
        </w:tc>
        <w:tc>
          <w:tcPr>
            <w:tcW w:w="9313" w:type="dxa"/>
          </w:tcPr>
          <w:p w14:paraId="642432D4" w14:textId="42434662" w:rsidR="00873866" w:rsidRPr="00596304" w:rsidRDefault="445A8C76" w:rsidP="02847EB3">
            <w:pPr>
              <w:pStyle w:val="TableParagraph"/>
              <w:numPr>
                <w:ilvl w:val="0"/>
                <w:numId w:val="2"/>
              </w:numPr>
              <w:spacing w:before="1" w:line="259" w:lineRule="auto"/>
              <w:rPr>
                <w:rFonts w:asciiTheme="minorHAnsi" w:eastAsiaTheme="minorEastAsia" w:hAnsiTheme="minorHAnsi" w:cstheme="minorBidi"/>
              </w:rPr>
            </w:pPr>
            <w:r w:rsidRPr="02847EB3">
              <w:rPr>
                <w:rFonts w:asciiTheme="minorHAnsi" w:eastAsiaTheme="minorEastAsia" w:hAnsiTheme="minorHAnsi" w:cstheme="minorBidi"/>
              </w:rPr>
              <w:t>6 Quiz di autovalutazione, uno alla fine di ogni unità, a risposta multipla</w:t>
            </w:r>
            <w:r w:rsidR="12F31427" w:rsidRPr="02847EB3">
              <w:rPr>
                <w:rFonts w:asciiTheme="minorHAnsi" w:eastAsiaTheme="minorEastAsia" w:hAnsiTheme="minorHAnsi" w:cstheme="minorBidi"/>
              </w:rPr>
              <w:t>, della durata di 30 minuti ciascuno</w:t>
            </w:r>
          </w:p>
          <w:p w14:paraId="6F1BCE0E" w14:textId="39ADD719" w:rsidR="00873866" w:rsidRPr="00596304" w:rsidRDefault="445A8C76" w:rsidP="02847EB3">
            <w:pPr>
              <w:pStyle w:val="TableParagraph"/>
              <w:numPr>
                <w:ilvl w:val="0"/>
                <w:numId w:val="1"/>
              </w:numPr>
              <w:spacing w:before="1" w:line="259" w:lineRule="auto"/>
              <w:rPr>
                <w:rFonts w:asciiTheme="minorHAnsi" w:eastAsiaTheme="minorEastAsia" w:hAnsiTheme="minorHAnsi" w:cstheme="minorBidi"/>
              </w:rPr>
            </w:pPr>
            <w:r w:rsidRPr="02847EB3">
              <w:rPr>
                <w:rFonts w:asciiTheme="minorHAnsi" w:eastAsiaTheme="minorEastAsia" w:hAnsiTheme="minorHAnsi" w:cstheme="minorBidi"/>
              </w:rPr>
              <w:t xml:space="preserve">Un </w:t>
            </w:r>
            <w:r w:rsidR="00011C28" w:rsidRPr="02847EB3">
              <w:rPr>
                <w:rFonts w:asciiTheme="minorHAnsi" w:eastAsiaTheme="minorEastAsia" w:hAnsiTheme="minorHAnsi" w:cstheme="minorBidi"/>
              </w:rPr>
              <w:t>compito</w:t>
            </w:r>
            <w:r w:rsidR="7F3D5E13" w:rsidRPr="02847EB3">
              <w:rPr>
                <w:rFonts w:asciiTheme="minorHAnsi" w:eastAsiaTheme="minorEastAsia" w:hAnsiTheme="minorHAnsi" w:cstheme="minorBidi"/>
              </w:rPr>
              <w:t xml:space="preserve"> con consegna di elaborato individuale</w:t>
            </w:r>
            <w:r w:rsidR="00011C28" w:rsidRPr="02847EB3">
              <w:rPr>
                <w:rFonts w:asciiTheme="minorHAnsi" w:eastAsiaTheme="minorEastAsia" w:hAnsiTheme="minorHAnsi" w:cstheme="minorBidi"/>
              </w:rPr>
              <w:t>: elabora</w:t>
            </w:r>
            <w:r w:rsidR="79046FFD" w:rsidRPr="02847EB3">
              <w:rPr>
                <w:rFonts w:asciiTheme="minorHAnsi" w:eastAsiaTheme="minorEastAsia" w:hAnsiTheme="minorHAnsi" w:cstheme="minorBidi"/>
              </w:rPr>
              <w:t>re</w:t>
            </w:r>
            <w:r w:rsidR="00011C28" w:rsidRPr="02847EB3">
              <w:rPr>
                <w:rFonts w:asciiTheme="minorHAnsi" w:eastAsiaTheme="minorEastAsia" w:hAnsiTheme="minorHAnsi" w:cstheme="minorBidi"/>
              </w:rPr>
              <w:t xml:space="preserve"> un sistema di valutazione delle prestazioni dirigenziali esercitate in una pubblica amministrazione (ente locale con 300 dipendenti) (max 2 pagine) – 2 ore</w:t>
            </w:r>
          </w:p>
          <w:p w14:paraId="171FFDBB" w14:textId="1CAA2F0B" w:rsidR="00873866" w:rsidRPr="00596304" w:rsidRDefault="420053E6" w:rsidP="02847EB3">
            <w:pPr>
              <w:pStyle w:val="TableParagraph"/>
              <w:numPr>
                <w:ilvl w:val="0"/>
                <w:numId w:val="1"/>
              </w:numPr>
              <w:spacing w:before="1" w:line="259" w:lineRule="auto"/>
              <w:rPr>
                <w:rFonts w:asciiTheme="minorHAnsi" w:eastAsiaTheme="minorEastAsia" w:hAnsiTheme="minorHAnsi" w:cstheme="minorBidi"/>
              </w:rPr>
            </w:pPr>
            <w:r w:rsidRPr="02847EB3">
              <w:rPr>
                <w:rFonts w:asciiTheme="minorHAnsi" w:eastAsiaTheme="minorEastAsia" w:hAnsiTheme="minorHAnsi" w:cstheme="minorBidi"/>
              </w:rPr>
              <w:t>2</w:t>
            </w:r>
            <w:r w:rsidR="00011C28" w:rsidRPr="02847EB3">
              <w:rPr>
                <w:rFonts w:asciiTheme="minorHAnsi" w:eastAsiaTheme="minorEastAsia" w:hAnsiTheme="minorHAnsi" w:cstheme="minorBidi"/>
              </w:rPr>
              <w:t xml:space="preserve"> forum</w:t>
            </w:r>
            <w:r w:rsidR="39E0296D" w:rsidRPr="02847EB3">
              <w:rPr>
                <w:rFonts w:asciiTheme="minorHAnsi" w:eastAsiaTheme="minorEastAsia" w:hAnsiTheme="minorHAnsi" w:cstheme="minorBidi"/>
              </w:rPr>
              <w:t xml:space="preserve"> di di</w:t>
            </w:r>
            <w:r w:rsidR="356698BF" w:rsidRPr="02847EB3">
              <w:rPr>
                <w:rFonts w:asciiTheme="minorHAnsi" w:eastAsiaTheme="minorEastAsia" w:hAnsiTheme="minorHAnsi" w:cstheme="minorBidi"/>
              </w:rPr>
              <w:t>scuss</w:t>
            </w:r>
            <w:r w:rsidR="77E173D4" w:rsidRPr="02847EB3">
              <w:rPr>
                <w:rFonts w:asciiTheme="minorHAnsi" w:eastAsiaTheme="minorEastAsia" w:hAnsiTheme="minorHAnsi" w:cstheme="minorBidi"/>
              </w:rPr>
              <w:t>io</w:t>
            </w:r>
            <w:r w:rsidR="356698BF" w:rsidRPr="02847EB3">
              <w:rPr>
                <w:rFonts w:asciiTheme="minorHAnsi" w:eastAsiaTheme="minorEastAsia" w:hAnsiTheme="minorHAnsi" w:cstheme="minorBidi"/>
              </w:rPr>
              <w:t>n</w:t>
            </w:r>
            <w:r w:rsidR="7E114536" w:rsidRPr="02847EB3">
              <w:rPr>
                <w:rFonts w:asciiTheme="minorHAnsi" w:eastAsiaTheme="minorEastAsia" w:hAnsiTheme="minorHAnsi" w:cstheme="minorBidi"/>
              </w:rPr>
              <w:t>e</w:t>
            </w:r>
            <w:r w:rsidR="00011C28" w:rsidRPr="02847EB3">
              <w:rPr>
                <w:rFonts w:asciiTheme="minorHAnsi" w:eastAsiaTheme="minorEastAsia" w:hAnsiTheme="minorHAnsi" w:cstheme="minorBidi"/>
              </w:rPr>
              <w:t xml:space="preserve"> (</w:t>
            </w:r>
            <w:r w:rsidR="7DA06729" w:rsidRPr="02847EB3">
              <w:rPr>
                <w:rFonts w:asciiTheme="minorHAnsi" w:eastAsiaTheme="minorEastAsia" w:hAnsiTheme="minorHAnsi" w:cstheme="minorBidi"/>
              </w:rPr>
              <w:t xml:space="preserve">durata pari a </w:t>
            </w:r>
            <w:r w:rsidR="00011C28" w:rsidRPr="02847EB3">
              <w:rPr>
                <w:rFonts w:asciiTheme="minorHAnsi" w:eastAsiaTheme="minorEastAsia" w:hAnsiTheme="minorHAnsi" w:cstheme="minorBidi"/>
              </w:rPr>
              <w:t>1 h</w:t>
            </w:r>
            <w:r w:rsidR="2560C269" w:rsidRPr="02847EB3">
              <w:rPr>
                <w:rFonts w:asciiTheme="minorHAnsi" w:eastAsiaTheme="minorEastAsia" w:hAnsiTheme="minorHAnsi" w:cstheme="minorBidi"/>
              </w:rPr>
              <w:t xml:space="preserve"> ciascuno</w:t>
            </w:r>
            <w:r w:rsidR="00011C28" w:rsidRPr="02847EB3">
              <w:rPr>
                <w:rFonts w:asciiTheme="minorHAnsi" w:eastAsiaTheme="minorEastAsia" w:hAnsiTheme="minorHAnsi" w:cstheme="minorBidi"/>
              </w:rPr>
              <w:t>)</w:t>
            </w:r>
            <w:r w:rsidR="6DED0E7C" w:rsidRPr="02847EB3">
              <w:rPr>
                <w:rFonts w:asciiTheme="minorHAnsi" w:eastAsiaTheme="minorEastAsia" w:hAnsiTheme="minorHAnsi" w:cstheme="minorBidi"/>
              </w:rPr>
              <w:t xml:space="preserve"> sui seguenti argomenti:</w:t>
            </w:r>
          </w:p>
          <w:p w14:paraId="18AAC180" w14:textId="3B0D0B6C" w:rsidR="00873866" w:rsidRPr="00596304" w:rsidRDefault="00011C28" w:rsidP="02847EB3">
            <w:pPr>
              <w:pStyle w:val="TableParagraph"/>
              <w:numPr>
                <w:ilvl w:val="1"/>
                <w:numId w:val="1"/>
              </w:numPr>
              <w:spacing w:before="1" w:line="259" w:lineRule="auto"/>
              <w:rPr>
                <w:rFonts w:asciiTheme="minorHAnsi" w:eastAsiaTheme="minorEastAsia" w:hAnsiTheme="minorHAnsi" w:cstheme="minorBidi"/>
              </w:rPr>
            </w:pPr>
            <w:r w:rsidRPr="02847EB3">
              <w:rPr>
                <w:rFonts w:asciiTheme="minorHAnsi" w:eastAsiaTheme="minorEastAsia" w:hAnsiTheme="minorHAnsi" w:cstheme="minorBidi"/>
              </w:rPr>
              <w:t xml:space="preserve">Quali azioni si possono </w:t>
            </w:r>
            <w:proofErr w:type="gramStart"/>
            <w:r w:rsidRPr="02847EB3">
              <w:rPr>
                <w:rFonts w:asciiTheme="minorHAnsi" w:eastAsiaTheme="minorEastAsia" w:hAnsiTheme="minorHAnsi" w:cstheme="minorBidi"/>
              </w:rPr>
              <w:t>mettere in campo</w:t>
            </w:r>
            <w:proofErr w:type="gramEnd"/>
            <w:r w:rsidRPr="02847EB3">
              <w:rPr>
                <w:rFonts w:asciiTheme="minorHAnsi" w:eastAsiaTheme="minorEastAsia" w:hAnsiTheme="minorHAnsi" w:cstheme="minorBidi"/>
              </w:rPr>
              <w:t xml:space="preserve"> in una pubblica amministrazione moderna per orientare l’organizzazione verso il raggiungimento di risultati sfidanti a favore delle comunità. </w:t>
            </w:r>
          </w:p>
          <w:p w14:paraId="7FD67689" w14:textId="246B08C2" w:rsidR="00873866" w:rsidRPr="00596304" w:rsidRDefault="00011C28" w:rsidP="02847EB3">
            <w:pPr>
              <w:pStyle w:val="TableParagraph"/>
              <w:numPr>
                <w:ilvl w:val="1"/>
                <w:numId w:val="1"/>
              </w:numPr>
              <w:spacing w:before="1" w:line="259" w:lineRule="auto"/>
              <w:rPr>
                <w:rFonts w:asciiTheme="minorHAnsi" w:eastAsiaTheme="minorEastAsia" w:hAnsiTheme="minorHAnsi" w:cstheme="minorBidi"/>
              </w:rPr>
            </w:pPr>
            <w:r w:rsidRPr="02847EB3">
              <w:rPr>
                <w:rFonts w:asciiTheme="minorHAnsi" w:eastAsiaTheme="minorEastAsia" w:hAnsiTheme="minorHAnsi" w:cstheme="minorBidi"/>
              </w:rPr>
              <w:t xml:space="preserve">Strategie di </w:t>
            </w:r>
            <w:proofErr w:type="spellStart"/>
            <w:r w:rsidRPr="02847EB3">
              <w:rPr>
                <w:rFonts w:asciiTheme="minorHAnsi" w:eastAsiaTheme="minorEastAsia" w:hAnsiTheme="minorHAnsi" w:cstheme="minorBidi"/>
              </w:rPr>
              <w:t>employer</w:t>
            </w:r>
            <w:proofErr w:type="spellEnd"/>
            <w:r w:rsidRPr="02847EB3">
              <w:rPr>
                <w:rFonts w:asciiTheme="minorHAnsi" w:eastAsiaTheme="minorEastAsia" w:hAnsiTheme="minorHAnsi" w:cstheme="minorBidi"/>
              </w:rPr>
              <w:t xml:space="preserve"> branding funzionali a rendere più attrattiva e competitiva una PA.</w:t>
            </w:r>
          </w:p>
        </w:tc>
      </w:tr>
      <w:tr w:rsidR="00873866" w14:paraId="45431B53" w14:textId="77777777" w:rsidTr="2D1A14BC">
        <w:trPr>
          <w:trHeight w:val="394"/>
        </w:trPr>
        <w:tc>
          <w:tcPr>
            <w:tcW w:w="3815" w:type="dxa"/>
          </w:tcPr>
          <w:p w14:paraId="2BEB55A9" w14:textId="77777777" w:rsidR="00873866" w:rsidRPr="00596304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  <w:highlight w:val="lightGray"/>
              </w:rPr>
            </w:pPr>
            <w:r w:rsidRPr="00592191">
              <w:rPr>
                <w:rFonts w:asciiTheme="minorHAnsi" w:eastAsiaTheme="minorEastAsia" w:hAnsiTheme="minorHAnsi" w:cstheme="minorBidi"/>
              </w:rPr>
              <w:t xml:space="preserve">Compiti di docenti e </w:t>
            </w:r>
            <w:r w:rsidRPr="00592191">
              <w:rPr>
                <w:rFonts w:asciiTheme="minorHAnsi" w:eastAsiaTheme="minorEastAsia" w:hAnsiTheme="minorHAnsi" w:cstheme="minorBidi"/>
                <w:spacing w:val="-2"/>
              </w:rPr>
              <w:t>tutor</w:t>
            </w:r>
          </w:p>
        </w:tc>
        <w:tc>
          <w:tcPr>
            <w:tcW w:w="9313" w:type="dxa"/>
          </w:tcPr>
          <w:p w14:paraId="508A0B14" w14:textId="77777777" w:rsidR="007A6849" w:rsidRPr="007A6849" w:rsidRDefault="007A6849" w:rsidP="007A6849">
            <w:pPr>
              <w:pStyle w:val="TableParagraph"/>
              <w:spacing w:before="75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Il </w:t>
            </w:r>
            <w:r w:rsidRPr="007A6849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docente</w:t>
            </w:r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ha la responsabilità didattica del modulo, registra le lezioni a distanza e tiene le lezioni in presenza, cura la predisposizione del materiale didattico e supervisiona/coordina le attività del tutor. Inoltre, coordina con i docenti afferenti al cluster la definizione, la gestione e la valutazione delle prove d’esame.    </w:t>
            </w:r>
          </w:p>
          <w:p w14:paraId="73F3C99C" w14:textId="26CC3E8E" w:rsidR="007A6849" w:rsidRPr="007A6849" w:rsidRDefault="007A6849" w:rsidP="007A6849">
            <w:pPr>
              <w:pStyle w:val="TableParagraph"/>
              <w:spacing w:before="75"/>
              <w:ind w:left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734596C" w14:textId="342A8E57" w:rsidR="007A6849" w:rsidRPr="007A6849" w:rsidRDefault="007A6849" w:rsidP="007A6849">
            <w:pPr>
              <w:pStyle w:val="TableParagraph"/>
              <w:spacing w:before="75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Il </w:t>
            </w:r>
            <w:r w:rsidRPr="007A6849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tutor disciplinare</w:t>
            </w:r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ha i seguenti compiti:   </w:t>
            </w:r>
          </w:p>
          <w:p w14:paraId="48F1AE60" w14:textId="5FA360A4" w:rsidR="007A6849" w:rsidRPr="007A6849" w:rsidRDefault="007A6849" w:rsidP="007A6849">
            <w:pPr>
              <w:pStyle w:val="TableParagraph"/>
              <w:spacing w:before="75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•        Supporto accademico: aiuta gli studenti a comprendere i concetti del corso, chiarisce dubbi, risponde nei forum o per e-mail.   </w:t>
            </w:r>
          </w:p>
          <w:p w14:paraId="051B3D6C" w14:textId="19BF66E5" w:rsidR="007A6849" w:rsidRPr="007A6849" w:rsidRDefault="007A6849" w:rsidP="007A6849">
            <w:pPr>
              <w:pStyle w:val="TableParagraph"/>
              <w:spacing w:before="75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•        Monitoraggio: controlla che gli studenti completino le attività, rispettino le scadenze e fornisce </w:t>
            </w:r>
            <w:proofErr w:type="gramStart"/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>feedback</w:t>
            </w:r>
            <w:proofErr w:type="gramEnd"/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   </w:t>
            </w:r>
          </w:p>
          <w:p w14:paraId="600B51DF" w14:textId="5EDB2792" w:rsidR="007A6849" w:rsidRPr="007A6849" w:rsidRDefault="007A6849" w:rsidP="007A6849">
            <w:pPr>
              <w:pStyle w:val="TableParagraph"/>
              <w:spacing w:before="75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•        Motivazione e coaching: incoraggia gli studenti nei momenti di difficoltà, li aiuta a gestire lo stress e a mantenere la motivazione.   </w:t>
            </w:r>
          </w:p>
          <w:p w14:paraId="10F99954" w14:textId="1889F7B7" w:rsidR="007A6849" w:rsidRPr="007A6849" w:rsidRDefault="007A6849" w:rsidP="007A6849">
            <w:pPr>
              <w:pStyle w:val="TableParagraph"/>
              <w:spacing w:before="75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>•        Facilitazione delle e-</w:t>
            </w:r>
            <w:proofErr w:type="spellStart"/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>tivity</w:t>
            </w:r>
            <w:proofErr w:type="spellEnd"/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: promuove la partecipazione a discussioni online, lavori di gruppo, attività collaborative e fornisce </w:t>
            </w:r>
            <w:proofErr w:type="gramStart"/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>feedback</w:t>
            </w:r>
            <w:proofErr w:type="gramEnd"/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   </w:t>
            </w:r>
          </w:p>
          <w:p w14:paraId="7E420191" w14:textId="527BDC85" w:rsidR="00873866" w:rsidRPr="00596304" w:rsidRDefault="007A6849" w:rsidP="007A6849">
            <w:pPr>
              <w:pStyle w:val="TableParagraph"/>
              <w:spacing w:before="75"/>
              <w:rPr>
                <w:rFonts w:asciiTheme="minorHAnsi" w:eastAsiaTheme="minorEastAsia" w:hAnsiTheme="minorHAnsi" w:cstheme="minorBidi"/>
                <w:i/>
                <w:iCs/>
                <w:color w:val="FF0000"/>
                <w:highlight w:val="lightGray"/>
              </w:rPr>
            </w:pPr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>•</w:t>
            </w:r>
            <w:r w:rsidRPr="007A6849">
              <w:rPr>
                <w:rFonts w:asciiTheme="minorHAnsi" w:eastAsiaTheme="minorEastAsia" w:hAnsiTheme="minorHAnsi" w:cstheme="minorBidi"/>
                <w:color w:val="000000" w:themeColor="text1"/>
              </w:rPr>
              <w:tab/>
              <w:t>Gestisce l'aula virtuale e fa il tutoraggio individuale  </w:t>
            </w:r>
          </w:p>
        </w:tc>
      </w:tr>
      <w:tr w:rsidR="00873866" w14:paraId="5B944E36" w14:textId="77777777" w:rsidTr="2D1A14BC">
        <w:trPr>
          <w:trHeight w:val="874"/>
        </w:trPr>
        <w:tc>
          <w:tcPr>
            <w:tcW w:w="3815" w:type="dxa"/>
          </w:tcPr>
          <w:p w14:paraId="3A7C1E89" w14:textId="77777777" w:rsidR="00873866" w:rsidRPr="00596304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  <w:highlight w:val="lightGray"/>
              </w:rPr>
            </w:pPr>
            <w:r w:rsidRPr="00592191">
              <w:rPr>
                <w:rFonts w:asciiTheme="minorHAnsi" w:eastAsiaTheme="minorEastAsia" w:hAnsiTheme="minorHAnsi" w:cstheme="minorBidi"/>
              </w:rPr>
              <w:t>Modalità</w:t>
            </w:r>
            <w:r w:rsidRPr="00592191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00592191">
              <w:rPr>
                <w:rFonts w:asciiTheme="minorHAnsi" w:eastAsiaTheme="minorEastAsia" w:hAnsiTheme="minorHAnsi" w:cstheme="minorBidi"/>
              </w:rPr>
              <w:t>di</w:t>
            </w:r>
            <w:r w:rsidRPr="00592191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00592191">
              <w:rPr>
                <w:rFonts w:asciiTheme="minorHAnsi" w:eastAsiaTheme="minorEastAsia" w:hAnsiTheme="minorHAnsi" w:cstheme="minorBidi"/>
              </w:rPr>
              <w:t>valutazione</w:t>
            </w:r>
            <w:r w:rsidRPr="00592191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00592191">
              <w:rPr>
                <w:rFonts w:asciiTheme="minorHAnsi" w:eastAsiaTheme="minorEastAsia" w:hAnsiTheme="minorHAnsi" w:cstheme="minorBidi"/>
              </w:rPr>
              <w:t>per</w:t>
            </w:r>
            <w:r w:rsidRPr="00592191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00592191">
              <w:rPr>
                <w:rFonts w:asciiTheme="minorHAnsi" w:eastAsiaTheme="minorEastAsia" w:hAnsiTheme="minorHAnsi" w:cstheme="minorBidi"/>
              </w:rPr>
              <w:t>il</w:t>
            </w:r>
            <w:r w:rsidRPr="00592191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00592191">
              <w:rPr>
                <w:rFonts w:asciiTheme="minorHAnsi" w:eastAsiaTheme="minorEastAsia" w:hAnsiTheme="minorHAnsi" w:cstheme="minorBidi"/>
              </w:rPr>
              <w:t>rilascio dell’open badge</w:t>
            </w:r>
          </w:p>
        </w:tc>
        <w:tc>
          <w:tcPr>
            <w:tcW w:w="9313" w:type="dxa"/>
          </w:tcPr>
          <w:p w14:paraId="01F2F042" w14:textId="6276141B" w:rsidR="00873866" w:rsidRDefault="5237BFA9" w:rsidP="4E6D0C85">
            <w:pPr>
              <w:pStyle w:val="TableParagraph"/>
              <w:spacing w:before="75" w:line="259" w:lineRule="auto"/>
              <w:ind w:right="429"/>
              <w:jc w:val="both"/>
              <w:rPr>
                <w:rFonts w:asciiTheme="minorHAnsi" w:eastAsiaTheme="minorEastAsia" w:hAnsiTheme="minorHAnsi" w:cstheme="minorBidi"/>
              </w:rPr>
            </w:pPr>
            <w:r w:rsidRPr="00592191">
              <w:rPr>
                <w:rFonts w:asciiTheme="minorHAnsi" w:eastAsiaTheme="minorEastAsia" w:hAnsiTheme="minorHAnsi" w:cstheme="minorBidi"/>
              </w:rPr>
              <w:t xml:space="preserve">La prova finale del modulo, che permetterà di conseguire l’open </w:t>
            </w:r>
            <w:proofErr w:type="gramStart"/>
            <w:r w:rsidRPr="00592191">
              <w:rPr>
                <w:rFonts w:asciiTheme="minorHAnsi" w:eastAsiaTheme="minorEastAsia" w:hAnsiTheme="minorHAnsi" w:cstheme="minorBidi"/>
              </w:rPr>
              <w:t>badge</w:t>
            </w:r>
            <w:proofErr w:type="gramEnd"/>
            <w:r w:rsidRPr="00592191">
              <w:rPr>
                <w:rFonts w:asciiTheme="minorHAnsi" w:eastAsiaTheme="minorEastAsia" w:hAnsiTheme="minorHAnsi" w:cstheme="minorBidi"/>
              </w:rPr>
              <w:t>, consisterà in un colloquio conclusivo con valorizzazione e commento dei contributi dello studente alle e-</w:t>
            </w:r>
            <w:proofErr w:type="spellStart"/>
            <w:r w:rsidRPr="00592191">
              <w:rPr>
                <w:rFonts w:asciiTheme="minorHAnsi" w:eastAsiaTheme="minorEastAsia" w:hAnsiTheme="minorHAnsi" w:cstheme="minorBidi"/>
              </w:rPr>
              <w:t>tivity</w:t>
            </w:r>
            <w:proofErr w:type="spellEnd"/>
            <w:r w:rsidRPr="00592191">
              <w:rPr>
                <w:rFonts w:asciiTheme="minorHAnsi" w:eastAsiaTheme="minorEastAsia" w:hAnsiTheme="minorHAnsi" w:cstheme="minorBidi"/>
              </w:rPr>
              <w:t xml:space="preserve"> realizzate durante il percorso.</w:t>
            </w:r>
          </w:p>
          <w:p w14:paraId="46094150" w14:textId="77777777" w:rsidR="00592191" w:rsidRPr="00592191" w:rsidRDefault="00592191" w:rsidP="4E6D0C85">
            <w:pPr>
              <w:pStyle w:val="TableParagraph"/>
              <w:spacing w:before="75" w:line="259" w:lineRule="auto"/>
              <w:ind w:right="429"/>
              <w:jc w:val="both"/>
              <w:rPr>
                <w:rFonts w:asciiTheme="minorHAnsi" w:eastAsiaTheme="minorEastAsia" w:hAnsiTheme="minorHAnsi" w:cstheme="minorBidi"/>
              </w:rPr>
            </w:pPr>
          </w:p>
          <w:p w14:paraId="53D1C638" w14:textId="35686F50" w:rsidR="00873866" w:rsidRPr="00592191" w:rsidRDefault="5A33452A" w:rsidP="4E6D0C85">
            <w:pPr>
              <w:pStyle w:val="TableParagraph"/>
              <w:spacing w:before="75" w:line="259" w:lineRule="auto"/>
              <w:ind w:right="429"/>
              <w:jc w:val="both"/>
              <w:rPr>
                <w:rFonts w:asciiTheme="minorHAnsi" w:eastAsiaTheme="minorEastAsia" w:hAnsiTheme="minorHAnsi" w:cstheme="minorBidi"/>
              </w:rPr>
            </w:pPr>
            <w:r w:rsidRPr="00592191">
              <w:rPr>
                <w:rFonts w:asciiTheme="minorHAnsi" w:eastAsiaTheme="minorEastAsia" w:hAnsiTheme="minorHAnsi" w:cstheme="minorBidi"/>
              </w:rPr>
              <w:t>Competenze raggiunte secondo il framework EU ESCO:</w:t>
            </w:r>
          </w:p>
          <w:p w14:paraId="73264301" w14:textId="77777777" w:rsidR="00873866" w:rsidRDefault="5A33452A" w:rsidP="007A6849">
            <w:pPr>
              <w:spacing w:before="75" w:line="259" w:lineRule="auto"/>
              <w:ind w:left="89" w:right="429"/>
              <w:jc w:val="both"/>
              <w:rPr>
                <w:rFonts w:ascii="Aptos Narrow" w:eastAsia="Aptos Narrow" w:hAnsi="Aptos Narrow" w:cs="Aptos Narrow"/>
                <w:color w:val="242424"/>
              </w:rPr>
            </w:pPr>
            <w:r w:rsidRPr="007A6849">
              <w:rPr>
                <w:rFonts w:ascii="Aptos Narrow" w:eastAsia="Aptos Narrow" w:hAnsi="Aptos Narrow" w:cs="Aptos Narrow"/>
                <w:color w:val="242424"/>
              </w:rPr>
              <w:t>S4.</w:t>
            </w:r>
            <w:r w:rsidR="007A6849" w:rsidRPr="007A6849">
              <w:rPr>
                <w:rFonts w:ascii="Aptos Narrow" w:eastAsia="Aptos Narrow" w:hAnsi="Aptos Narrow" w:cs="Aptos Narrow"/>
                <w:color w:val="242424"/>
              </w:rPr>
              <w:t>3</w:t>
            </w:r>
            <w:r w:rsidRPr="007A6849">
              <w:rPr>
                <w:rFonts w:ascii="Aptos Narrow" w:eastAsia="Aptos Narrow" w:hAnsi="Aptos Narrow" w:cs="Aptos Narrow"/>
                <w:color w:val="242424"/>
              </w:rPr>
              <w:t>.</w:t>
            </w:r>
            <w:r w:rsidR="007A6849" w:rsidRPr="007A6849">
              <w:rPr>
                <w:rFonts w:ascii="Aptos Narrow" w:eastAsia="Aptos Narrow" w:hAnsi="Aptos Narrow" w:cs="Aptos Narrow"/>
                <w:color w:val="242424"/>
              </w:rPr>
              <w:t>2</w:t>
            </w:r>
            <w:r w:rsidRPr="007A6849">
              <w:rPr>
                <w:rFonts w:ascii="Aptos Narrow" w:eastAsia="Aptos Narrow" w:hAnsi="Aptos Narrow" w:cs="Aptos Narrow"/>
                <w:color w:val="242424"/>
              </w:rPr>
              <w:t xml:space="preserve"> - </w:t>
            </w:r>
            <w:r w:rsidR="007A6849" w:rsidRPr="007A6849">
              <w:rPr>
                <w:rFonts w:ascii="Aptos Narrow" w:eastAsia="Aptos Narrow" w:hAnsi="Aptos Narrow" w:cs="Aptos Narrow"/>
                <w:color w:val="242424"/>
              </w:rPr>
              <w:t>gestire e amministrare le risorse umane</w:t>
            </w:r>
          </w:p>
          <w:p w14:paraId="46AC5060" w14:textId="2A6DD27E" w:rsidR="00592191" w:rsidRPr="007A6849" w:rsidRDefault="00592191" w:rsidP="007A6849">
            <w:pPr>
              <w:spacing w:before="75" w:line="259" w:lineRule="auto"/>
              <w:ind w:left="89" w:right="429"/>
              <w:jc w:val="both"/>
            </w:pPr>
          </w:p>
        </w:tc>
      </w:tr>
      <w:tr w:rsidR="00873866" w14:paraId="0CCCF73C" w14:textId="77777777" w:rsidTr="2D1A14BC">
        <w:trPr>
          <w:trHeight w:val="394"/>
        </w:trPr>
        <w:tc>
          <w:tcPr>
            <w:tcW w:w="3815" w:type="dxa"/>
          </w:tcPr>
          <w:p w14:paraId="63895790" w14:textId="77777777" w:rsidR="00873866" w:rsidRPr="00592191" w:rsidRDefault="004112CE" w:rsidP="0F2561BC">
            <w:pPr>
              <w:pStyle w:val="TableParagraph"/>
              <w:spacing w:before="76"/>
              <w:ind w:left="90"/>
              <w:rPr>
                <w:rFonts w:asciiTheme="minorHAnsi" w:eastAsiaTheme="minorEastAsia" w:hAnsiTheme="minorHAnsi" w:cstheme="minorBidi"/>
              </w:rPr>
            </w:pPr>
            <w:r w:rsidRPr="00592191">
              <w:rPr>
                <w:rFonts w:asciiTheme="minorHAnsi" w:eastAsiaTheme="minorEastAsia" w:hAnsiTheme="minorHAnsi" w:cstheme="minorBidi"/>
              </w:rPr>
              <w:t>Testi</w:t>
            </w:r>
            <w:r w:rsidRPr="00592191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00592191">
              <w:rPr>
                <w:rFonts w:asciiTheme="minorHAnsi" w:eastAsiaTheme="minorEastAsia" w:hAnsiTheme="minorHAnsi" w:cstheme="minorBidi"/>
              </w:rPr>
              <w:t>e</w:t>
            </w:r>
            <w:r w:rsidRPr="00592191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00592191">
              <w:rPr>
                <w:rFonts w:asciiTheme="minorHAnsi" w:eastAsiaTheme="minorEastAsia" w:hAnsiTheme="minorHAnsi" w:cstheme="minorBidi"/>
              </w:rPr>
              <w:t>Materiali</w:t>
            </w:r>
            <w:r w:rsidRPr="00592191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00592191">
              <w:rPr>
                <w:rFonts w:asciiTheme="minorHAnsi" w:eastAsiaTheme="minorEastAsia" w:hAnsiTheme="minorHAnsi" w:cstheme="minorBidi"/>
              </w:rPr>
              <w:t>Didattici</w:t>
            </w:r>
            <w:r w:rsidRPr="00592191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00592191">
              <w:rPr>
                <w:rFonts w:asciiTheme="minorHAnsi" w:eastAsiaTheme="minorEastAsia" w:hAnsiTheme="minorHAnsi" w:cstheme="minorBidi"/>
              </w:rPr>
              <w:t>di</w:t>
            </w:r>
            <w:r w:rsidRPr="00592191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00592191">
              <w:rPr>
                <w:rFonts w:asciiTheme="minorHAnsi" w:eastAsiaTheme="minorEastAsia" w:hAnsiTheme="minorHAnsi" w:cstheme="minorBidi"/>
                <w:spacing w:val="-2"/>
              </w:rPr>
              <w:t>riferimento</w:t>
            </w:r>
          </w:p>
        </w:tc>
        <w:tc>
          <w:tcPr>
            <w:tcW w:w="9313" w:type="dxa"/>
          </w:tcPr>
          <w:p w14:paraId="26F1295F" w14:textId="41893BDB" w:rsidR="00873866" w:rsidRPr="00592191" w:rsidRDefault="68DA24A2" w:rsidP="0F2561BC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color w:val="EE0000"/>
              </w:rPr>
            </w:pPr>
            <w:r w:rsidRPr="00592191">
              <w:rPr>
                <w:rFonts w:asciiTheme="minorHAnsi" w:eastAsiaTheme="minorEastAsia" w:hAnsiTheme="minorHAnsi" w:cstheme="minorBidi"/>
                <w:color w:val="EE0000"/>
              </w:rPr>
              <w:t xml:space="preserve"> </w:t>
            </w:r>
            <w:r w:rsidRPr="00592191">
              <w:rPr>
                <w:rFonts w:asciiTheme="minorHAnsi" w:eastAsiaTheme="minorEastAsia" w:hAnsiTheme="minorHAnsi" w:cstheme="minorBidi"/>
                <w:i/>
                <w:iCs/>
              </w:rPr>
              <w:t>Indicare i testi didattici di riferimento adottati</w:t>
            </w:r>
          </w:p>
        </w:tc>
      </w:tr>
    </w:tbl>
    <w:p w14:paraId="2E35647B" w14:textId="77777777" w:rsidR="0056170F" w:rsidRDefault="0056170F"/>
    <w:sectPr w:rsidR="0056170F">
      <w:type w:val="continuous"/>
      <w:pgSz w:w="15370" w:h="20480"/>
      <w:pgMar w:top="106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ld">
    <w:altName w:val="Century Gothic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051F"/>
    <w:multiLevelType w:val="multilevel"/>
    <w:tmpl w:val="26F0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F14A9"/>
    <w:multiLevelType w:val="hybridMultilevel"/>
    <w:tmpl w:val="053C4F5A"/>
    <w:lvl w:ilvl="0" w:tplc="E96ED3E2">
      <w:start w:val="1"/>
      <w:numFmt w:val="bullet"/>
      <w:lvlText w:val="-"/>
      <w:lvlJc w:val="left"/>
      <w:pPr>
        <w:ind w:left="653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" w15:restartNumberingAfterBreak="0">
    <w:nsid w:val="3840A696"/>
    <w:multiLevelType w:val="hybridMultilevel"/>
    <w:tmpl w:val="2370FD80"/>
    <w:lvl w:ilvl="0" w:tplc="D02838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DAE7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68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EE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23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E7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3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03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B8B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E00CF"/>
    <w:multiLevelType w:val="hybridMultilevel"/>
    <w:tmpl w:val="0C3CC6C6"/>
    <w:lvl w:ilvl="0" w:tplc="3076A3F8">
      <w:start w:val="1"/>
      <w:numFmt w:val="bullet"/>
      <w:lvlText w:val="-"/>
      <w:lvlJc w:val="left"/>
      <w:pPr>
        <w:ind w:left="653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4" w15:restartNumberingAfterBreak="0">
    <w:nsid w:val="50D23C2F"/>
    <w:multiLevelType w:val="multilevel"/>
    <w:tmpl w:val="39AE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3C6B64"/>
    <w:multiLevelType w:val="hybridMultilevel"/>
    <w:tmpl w:val="30BC086E"/>
    <w:lvl w:ilvl="0" w:tplc="A4944F86">
      <w:numFmt w:val="bullet"/>
      <w:lvlText w:val="•"/>
      <w:lvlJc w:val="left"/>
      <w:pPr>
        <w:ind w:left="245" w:hanging="156"/>
      </w:pPr>
      <w:rPr>
        <w:rFonts w:ascii="Helvetica Neue" w:eastAsia="Helvetica Neue" w:hAnsi="Helvetica Neue" w:cs="Helvetica Neue" w:hint="default"/>
        <w:b w:val="0"/>
        <w:bCs w:val="0"/>
        <w:i/>
        <w:iCs/>
        <w:spacing w:val="0"/>
        <w:w w:val="100"/>
        <w:sz w:val="20"/>
        <w:szCs w:val="20"/>
        <w:lang w:val="it-IT" w:eastAsia="en-US" w:bidi="ar-SA"/>
      </w:rPr>
    </w:lvl>
    <w:lvl w:ilvl="1" w:tplc="3D2AF892">
      <w:numFmt w:val="bullet"/>
      <w:lvlText w:val="•"/>
      <w:lvlJc w:val="left"/>
      <w:pPr>
        <w:ind w:left="1145" w:hanging="156"/>
      </w:pPr>
      <w:rPr>
        <w:rFonts w:hint="default"/>
        <w:lang w:val="it-IT" w:eastAsia="en-US" w:bidi="ar-SA"/>
      </w:rPr>
    </w:lvl>
    <w:lvl w:ilvl="2" w:tplc="7A326508">
      <w:numFmt w:val="bullet"/>
      <w:lvlText w:val="•"/>
      <w:lvlJc w:val="left"/>
      <w:pPr>
        <w:ind w:left="2050" w:hanging="156"/>
      </w:pPr>
      <w:rPr>
        <w:rFonts w:hint="default"/>
        <w:lang w:val="it-IT" w:eastAsia="en-US" w:bidi="ar-SA"/>
      </w:rPr>
    </w:lvl>
    <w:lvl w:ilvl="3" w:tplc="512A3ED2">
      <w:numFmt w:val="bullet"/>
      <w:lvlText w:val="•"/>
      <w:lvlJc w:val="left"/>
      <w:pPr>
        <w:ind w:left="2955" w:hanging="156"/>
      </w:pPr>
      <w:rPr>
        <w:rFonts w:hint="default"/>
        <w:lang w:val="it-IT" w:eastAsia="en-US" w:bidi="ar-SA"/>
      </w:rPr>
    </w:lvl>
    <w:lvl w:ilvl="4" w:tplc="7980959E">
      <w:numFmt w:val="bullet"/>
      <w:lvlText w:val="•"/>
      <w:lvlJc w:val="left"/>
      <w:pPr>
        <w:ind w:left="3861" w:hanging="156"/>
      </w:pPr>
      <w:rPr>
        <w:rFonts w:hint="default"/>
        <w:lang w:val="it-IT" w:eastAsia="en-US" w:bidi="ar-SA"/>
      </w:rPr>
    </w:lvl>
    <w:lvl w:ilvl="5" w:tplc="76460156">
      <w:numFmt w:val="bullet"/>
      <w:lvlText w:val="•"/>
      <w:lvlJc w:val="left"/>
      <w:pPr>
        <w:ind w:left="4766" w:hanging="156"/>
      </w:pPr>
      <w:rPr>
        <w:rFonts w:hint="default"/>
        <w:lang w:val="it-IT" w:eastAsia="en-US" w:bidi="ar-SA"/>
      </w:rPr>
    </w:lvl>
    <w:lvl w:ilvl="6" w:tplc="A0C2C3D8">
      <w:numFmt w:val="bullet"/>
      <w:lvlText w:val="•"/>
      <w:lvlJc w:val="left"/>
      <w:pPr>
        <w:ind w:left="5671" w:hanging="156"/>
      </w:pPr>
      <w:rPr>
        <w:rFonts w:hint="default"/>
        <w:lang w:val="it-IT" w:eastAsia="en-US" w:bidi="ar-SA"/>
      </w:rPr>
    </w:lvl>
    <w:lvl w:ilvl="7" w:tplc="B8C26152">
      <w:numFmt w:val="bullet"/>
      <w:lvlText w:val="•"/>
      <w:lvlJc w:val="left"/>
      <w:pPr>
        <w:ind w:left="6577" w:hanging="156"/>
      </w:pPr>
      <w:rPr>
        <w:rFonts w:hint="default"/>
        <w:lang w:val="it-IT" w:eastAsia="en-US" w:bidi="ar-SA"/>
      </w:rPr>
    </w:lvl>
    <w:lvl w:ilvl="8" w:tplc="FC000E6E">
      <w:numFmt w:val="bullet"/>
      <w:lvlText w:val="•"/>
      <w:lvlJc w:val="left"/>
      <w:pPr>
        <w:ind w:left="7482" w:hanging="156"/>
      </w:pPr>
      <w:rPr>
        <w:rFonts w:hint="default"/>
        <w:lang w:val="it-IT" w:eastAsia="en-US" w:bidi="ar-SA"/>
      </w:rPr>
    </w:lvl>
  </w:abstractNum>
  <w:abstractNum w:abstractNumId="6" w15:restartNumberingAfterBreak="0">
    <w:nsid w:val="6ACEA457"/>
    <w:multiLevelType w:val="hybridMultilevel"/>
    <w:tmpl w:val="0B32EC20"/>
    <w:lvl w:ilvl="0" w:tplc="3BA0BA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1561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AB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6E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69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E66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42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49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60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4D669"/>
    <w:multiLevelType w:val="hybridMultilevel"/>
    <w:tmpl w:val="3CEA2E0C"/>
    <w:lvl w:ilvl="0" w:tplc="03923CD2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AF36560C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6598CD60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5F5808FC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23E0A936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3078C556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5ACDC5E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90163FB4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2F00965E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1025712272">
    <w:abstractNumId w:val="2"/>
  </w:num>
  <w:num w:numId="2" w16cid:durableId="806967893">
    <w:abstractNumId w:val="6"/>
  </w:num>
  <w:num w:numId="3" w16cid:durableId="415783479">
    <w:abstractNumId w:val="7"/>
  </w:num>
  <w:num w:numId="4" w16cid:durableId="2007129262">
    <w:abstractNumId w:val="5"/>
  </w:num>
  <w:num w:numId="5" w16cid:durableId="1308782197">
    <w:abstractNumId w:val="0"/>
  </w:num>
  <w:num w:numId="6" w16cid:durableId="206836785">
    <w:abstractNumId w:val="4"/>
  </w:num>
  <w:num w:numId="7" w16cid:durableId="908424529">
    <w:abstractNumId w:val="1"/>
  </w:num>
  <w:num w:numId="8" w16cid:durableId="288125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66"/>
    <w:rsid w:val="000112A8"/>
    <w:rsid w:val="00011C28"/>
    <w:rsid w:val="000200D7"/>
    <w:rsid w:val="00091EA3"/>
    <w:rsid w:val="000968D5"/>
    <w:rsid w:val="000A27BE"/>
    <w:rsid w:val="000A2CE3"/>
    <w:rsid w:val="000A6E15"/>
    <w:rsid w:val="000D2011"/>
    <w:rsid w:val="000D22A0"/>
    <w:rsid w:val="000D7D60"/>
    <w:rsid w:val="00125F75"/>
    <w:rsid w:val="00130469"/>
    <w:rsid w:val="00130753"/>
    <w:rsid w:val="00141DF2"/>
    <w:rsid w:val="0017658E"/>
    <w:rsid w:val="00196947"/>
    <w:rsid w:val="001A400F"/>
    <w:rsid w:val="002259FB"/>
    <w:rsid w:val="00244B6D"/>
    <w:rsid w:val="002F2D42"/>
    <w:rsid w:val="00337706"/>
    <w:rsid w:val="0036097D"/>
    <w:rsid w:val="003700EC"/>
    <w:rsid w:val="00393343"/>
    <w:rsid w:val="003A0452"/>
    <w:rsid w:val="004112CE"/>
    <w:rsid w:val="00431C8B"/>
    <w:rsid w:val="004332D4"/>
    <w:rsid w:val="00433B86"/>
    <w:rsid w:val="0047799C"/>
    <w:rsid w:val="00480104"/>
    <w:rsid w:val="004B740F"/>
    <w:rsid w:val="004C632E"/>
    <w:rsid w:val="004E2D30"/>
    <w:rsid w:val="004F5B26"/>
    <w:rsid w:val="00534D3A"/>
    <w:rsid w:val="0056170F"/>
    <w:rsid w:val="0056616A"/>
    <w:rsid w:val="00592191"/>
    <w:rsid w:val="00596304"/>
    <w:rsid w:val="005A426D"/>
    <w:rsid w:val="005A7694"/>
    <w:rsid w:val="005E197C"/>
    <w:rsid w:val="00606BE7"/>
    <w:rsid w:val="00614DCA"/>
    <w:rsid w:val="00630808"/>
    <w:rsid w:val="0063598D"/>
    <w:rsid w:val="00643A52"/>
    <w:rsid w:val="00647D7C"/>
    <w:rsid w:val="00657138"/>
    <w:rsid w:val="006926C7"/>
    <w:rsid w:val="00696D72"/>
    <w:rsid w:val="006C8D01"/>
    <w:rsid w:val="006D5850"/>
    <w:rsid w:val="006F5B9C"/>
    <w:rsid w:val="00707264"/>
    <w:rsid w:val="00720836"/>
    <w:rsid w:val="00795F95"/>
    <w:rsid w:val="007A6849"/>
    <w:rsid w:val="007B2FB5"/>
    <w:rsid w:val="007D4EB7"/>
    <w:rsid w:val="007E2DF7"/>
    <w:rsid w:val="007F2352"/>
    <w:rsid w:val="008473D8"/>
    <w:rsid w:val="00873866"/>
    <w:rsid w:val="008818A5"/>
    <w:rsid w:val="00881C34"/>
    <w:rsid w:val="008827DC"/>
    <w:rsid w:val="008957FA"/>
    <w:rsid w:val="00895DD7"/>
    <w:rsid w:val="008F370F"/>
    <w:rsid w:val="009019F6"/>
    <w:rsid w:val="00923D20"/>
    <w:rsid w:val="00961DB4"/>
    <w:rsid w:val="0096713F"/>
    <w:rsid w:val="00971297"/>
    <w:rsid w:val="009B0762"/>
    <w:rsid w:val="009C7E33"/>
    <w:rsid w:val="009E0195"/>
    <w:rsid w:val="009E5E88"/>
    <w:rsid w:val="00A21867"/>
    <w:rsid w:val="00A37B56"/>
    <w:rsid w:val="00A61453"/>
    <w:rsid w:val="00A6181D"/>
    <w:rsid w:val="00A7065C"/>
    <w:rsid w:val="00A845F5"/>
    <w:rsid w:val="00AC216D"/>
    <w:rsid w:val="00AC32D7"/>
    <w:rsid w:val="00AE2CE1"/>
    <w:rsid w:val="00B0043F"/>
    <w:rsid w:val="00B02F1E"/>
    <w:rsid w:val="00B42A83"/>
    <w:rsid w:val="00B475A8"/>
    <w:rsid w:val="00B8315A"/>
    <w:rsid w:val="00C061FB"/>
    <w:rsid w:val="00C136AE"/>
    <w:rsid w:val="00C3498D"/>
    <w:rsid w:val="00C41403"/>
    <w:rsid w:val="00C51944"/>
    <w:rsid w:val="00C656E9"/>
    <w:rsid w:val="00C90B0B"/>
    <w:rsid w:val="00CA25CA"/>
    <w:rsid w:val="00CB6B31"/>
    <w:rsid w:val="00CD3077"/>
    <w:rsid w:val="00CE23F9"/>
    <w:rsid w:val="00D26FE9"/>
    <w:rsid w:val="00D3281B"/>
    <w:rsid w:val="00D97B33"/>
    <w:rsid w:val="00DA5A77"/>
    <w:rsid w:val="00DB6C62"/>
    <w:rsid w:val="00DD2150"/>
    <w:rsid w:val="00DE7048"/>
    <w:rsid w:val="00DF5A36"/>
    <w:rsid w:val="00E071D8"/>
    <w:rsid w:val="00E329AB"/>
    <w:rsid w:val="00E438BD"/>
    <w:rsid w:val="00E606D0"/>
    <w:rsid w:val="00E8768D"/>
    <w:rsid w:val="00E96A41"/>
    <w:rsid w:val="00EA0A82"/>
    <w:rsid w:val="00EA3A66"/>
    <w:rsid w:val="00EB217C"/>
    <w:rsid w:val="00EF18DA"/>
    <w:rsid w:val="00EF5D90"/>
    <w:rsid w:val="00EF775D"/>
    <w:rsid w:val="00F2487E"/>
    <w:rsid w:val="00F602B4"/>
    <w:rsid w:val="00F62040"/>
    <w:rsid w:val="00F64B0A"/>
    <w:rsid w:val="00F66441"/>
    <w:rsid w:val="00F7377C"/>
    <w:rsid w:val="00F8357D"/>
    <w:rsid w:val="00FC0428"/>
    <w:rsid w:val="00FD2D84"/>
    <w:rsid w:val="01EE4FA2"/>
    <w:rsid w:val="02847EB3"/>
    <w:rsid w:val="0473CC44"/>
    <w:rsid w:val="06CA316E"/>
    <w:rsid w:val="06CCD747"/>
    <w:rsid w:val="06DD64A7"/>
    <w:rsid w:val="079FF485"/>
    <w:rsid w:val="07B962A3"/>
    <w:rsid w:val="080E1388"/>
    <w:rsid w:val="08CFE83E"/>
    <w:rsid w:val="09684C8B"/>
    <w:rsid w:val="0C616DED"/>
    <w:rsid w:val="0E4AF4AB"/>
    <w:rsid w:val="0F2561BC"/>
    <w:rsid w:val="100ACE92"/>
    <w:rsid w:val="125B815E"/>
    <w:rsid w:val="12F31427"/>
    <w:rsid w:val="1404049B"/>
    <w:rsid w:val="1418CAD4"/>
    <w:rsid w:val="15696544"/>
    <w:rsid w:val="15E16DB2"/>
    <w:rsid w:val="16160258"/>
    <w:rsid w:val="181C99EC"/>
    <w:rsid w:val="182B7B78"/>
    <w:rsid w:val="1A787750"/>
    <w:rsid w:val="1A7ED03F"/>
    <w:rsid w:val="1A922A99"/>
    <w:rsid w:val="1AE57DB1"/>
    <w:rsid w:val="1AE9C70C"/>
    <w:rsid w:val="1C84D4D4"/>
    <w:rsid w:val="1CB5711F"/>
    <w:rsid w:val="1CD8FB25"/>
    <w:rsid w:val="1E62679F"/>
    <w:rsid w:val="1E6F2F26"/>
    <w:rsid w:val="23790DE7"/>
    <w:rsid w:val="23B9713A"/>
    <w:rsid w:val="23D831B1"/>
    <w:rsid w:val="2560C269"/>
    <w:rsid w:val="28DA97A4"/>
    <w:rsid w:val="2C7376FF"/>
    <w:rsid w:val="2CB57134"/>
    <w:rsid w:val="2CB9FF3E"/>
    <w:rsid w:val="2D1A14BC"/>
    <w:rsid w:val="2D74A190"/>
    <w:rsid w:val="2DA9AADE"/>
    <w:rsid w:val="2DB7073D"/>
    <w:rsid w:val="2DF0D86D"/>
    <w:rsid w:val="2DF7E0FD"/>
    <w:rsid w:val="3004E361"/>
    <w:rsid w:val="30FC5EA5"/>
    <w:rsid w:val="32311506"/>
    <w:rsid w:val="3308DDE3"/>
    <w:rsid w:val="337E898C"/>
    <w:rsid w:val="33E80F21"/>
    <w:rsid w:val="341DF37A"/>
    <w:rsid w:val="3435AD60"/>
    <w:rsid w:val="356698BF"/>
    <w:rsid w:val="38AC410C"/>
    <w:rsid w:val="3954439E"/>
    <w:rsid w:val="396B833F"/>
    <w:rsid w:val="39E0296D"/>
    <w:rsid w:val="3A1E54D9"/>
    <w:rsid w:val="3B0B2EF6"/>
    <w:rsid w:val="3B213712"/>
    <w:rsid w:val="3C62847C"/>
    <w:rsid w:val="3E1ED156"/>
    <w:rsid w:val="3E265030"/>
    <w:rsid w:val="3E90557B"/>
    <w:rsid w:val="4047A0F1"/>
    <w:rsid w:val="40A595A5"/>
    <w:rsid w:val="40B41F66"/>
    <w:rsid w:val="40FBF7B5"/>
    <w:rsid w:val="413F4AD9"/>
    <w:rsid w:val="41727ACB"/>
    <w:rsid w:val="420053E6"/>
    <w:rsid w:val="42371F0A"/>
    <w:rsid w:val="4387DEB5"/>
    <w:rsid w:val="43F304F6"/>
    <w:rsid w:val="445A8C76"/>
    <w:rsid w:val="445E34F5"/>
    <w:rsid w:val="46407B1B"/>
    <w:rsid w:val="46674443"/>
    <w:rsid w:val="47908F98"/>
    <w:rsid w:val="484B397A"/>
    <w:rsid w:val="48BF0CD8"/>
    <w:rsid w:val="49DDE4CD"/>
    <w:rsid w:val="4B034716"/>
    <w:rsid w:val="4BE523F5"/>
    <w:rsid w:val="4C7A67DF"/>
    <w:rsid w:val="4E6D0C85"/>
    <w:rsid w:val="5124FA53"/>
    <w:rsid w:val="51A7782C"/>
    <w:rsid w:val="51E0AFFF"/>
    <w:rsid w:val="5237BFA9"/>
    <w:rsid w:val="537DACD4"/>
    <w:rsid w:val="539B2153"/>
    <w:rsid w:val="54CD3A8C"/>
    <w:rsid w:val="5523FDC5"/>
    <w:rsid w:val="56229E3E"/>
    <w:rsid w:val="56F3418B"/>
    <w:rsid w:val="57A14DC0"/>
    <w:rsid w:val="57FE315C"/>
    <w:rsid w:val="584E4D34"/>
    <w:rsid w:val="5918E7E5"/>
    <w:rsid w:val="5A1F025E"/>
    <w:rsid w:val="5A33452A"/>
    <w:rsid w:val="5A76B40E"/>
    <w:rsid w:val="5B09EE37"/>
    <w:rsid w:val="5C4DC21B"/>
    <w:rsid w:val="5C6B45C7"/>
    <w:rsid w:val="5D33EF0D"/>
    <w:rsid w:val="5E60AC25"/>
    <w:rsid w:val="617320E4"/>
    <w:rsid w:val="63D50EB0"/>
    <w:rsid w:val="65C59C39"/>
    <w:rsid w:val="660EAE37"/>
    <w:rsid w:val="68DA24A2"/>
    <w:rsid w:val="6937DCF0"/>
    <w:rsid w:val="6A9D8A7E"/>
    <w:rsid w:val="6BD26326"/>
    <w:rsid w:val="6C3FB191"/>
    <w:rsid w:val="6D0E1ECD"/>
    <w:rsid w:val="6D6F7029"/>
    <w:rsid w:val="6DED0E7C"/>
    <w:rsid w:val="6E0BA3E9"/>
    <w:rsid w:val="6E544621"/>
    <w:rsid w:val="6EB991FB"/>
    <w:rsid w:val="70977AAF"/>
    <w:rsid w:val="730E3675"/>
    <w:rsid w:val="733E1E0B"/>
    <w:rsid w:val="749E009C"/>
    <w:rsid w:val="750A7B71"/>
    <w:rsid w:val="7559E0D1"/>
    <w:rsid w:val="761E6683"/>
    <w:rsid w:val="7679FA0B"/>
    <w:rsid w:val="77E173D4"/>
    <w:rsid w:val="7811A9CB"/>
    <w:rsid w:val="781C1316"/>
    <w:rsid w:val="78283721"/>
    <w:rsid w:val="7851D2DE"/>
    <w:rsid w:val="79046FFD"/>
    <w:rsid w:val="7A5B229B"/>
    <w:rsid w:val="7BE0DF4B"/>
    <w:rsid w:val="7C1B6502"/>
    <w:rsid w:val="7C6688EC"/>
    <w:rsid w:val="7C78920E"/>
    <w:rsid w:val="7DA06729"/>
    <w:rsid w:val="7DF1E511"/>
    <w:rsid w:val="7E114536"/>
    <w:rsid w:val="7F091779"/>
    <w:rsid w:val="7F3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6B8A"/>
  <w15:docId w15:val="{D74AFF08-EAD0-AF4C-9532-76D0B2FE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rFonts w:ascii="Futura Bold" w:eastAsia="Futura Bold" w:hAnsi="Futura Bold" w:cs="Futura Bold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9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Helvetica Neue" w:eastAsia="Helvetica Neue" w:hAnsi="Helvetica Neue" w:cs="Helvetica Neue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706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1116</Words>
  <Characters>6676</Characters>
  <Application>Microsoft Office Word</Application>
  <DocSecurity>0</DocSecurity>
  <Lines>155</Lines>
  <Paragraphs>109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EDUNEXT - LINEE GUIDA PROGETTAZIONE CORSI DI LAUREA - Ver1.0.1</dc:title>
  <cp:lastModifiedBy>Claudia LEDDA</cp:lastModifiedBy>
  <cp:revision>7</cp:revision>
  <dcterms:created xsi:type="dcterms:W3CDTF">2025-09-16T20:26:00Z</dcterms:created>
  <dcterms:modified xsi:type="dcterms:W3CDTF">2026-04-13T16:14:00Z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Pages</vt:lpwstr>
  </property>
  <property fmtid="{D5CDD505-2E9C-101B-9397-08002B2CF9AE}" pid="4" name="LastSaved">
    <vt:filetime>2024-11-21T00:00:00Z</vt:filetime>
  </property>
  <property fmtid="{D5CDD505-2E9C-101B-9397-08002B2CF9AE}" pid="5" name="Producer">
    <vt:lpwstr>macOS Versione 14.4.1 (Build 23E224) Quartz PDFContext</vt:lpwstr>
  </property>
</Properties>
</file>