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73866" w:rsidP="7BE0DF4B" w:rsidRDefault="004112CE" w14:paraId="27CA0208" w14:textId="07C11070">
      <w:pPr>
        <w:pStyle w:val="Corpotesto"/>
        <w:spacing w:before="68" w:line="283" w:lineRule="auto"/>
        <w:ind w:left="10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C988D" wp14:editId="68553934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F2ED32D">
              <v:shape id="Graphic 1" style="position:absolute;margin-left:54.5pt;margin-top:55.65pt;width:6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" w14:anchorId="21117C2A">
                <v:path arrowok="t"/>
                <w10:wrap type="topAndBottom" anchorx="page"/>
              </v:shape>
            </w:pict>
          </mc:Fallback>
        </mc:AlternateConten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CFU)</w:t>
      </w:r>
      <w:r>
        <w:rPr>
          <w:spacing w:val="-7"/>
        </w:rPr>
        <w:t xml:space="preserve"> </w:t>
      </w:r>
      <w:r w:rsidR="1418CAD4">
        <w:rPr>
          <w:spacing w:val="-7"/>
        </w:rPr>
        <w:t xml:space="preserve">- </w:t>
      </w:r>
      <w:r w:rsidR="00537C2C">
        <w:rPr>
          <w:color w:val="FF0000"/>
          <w:spacing w:val="-7"/>
        </w:rPr>
        <w:t>Cybercrimes</w:t>
      </w:r>
    </w:p>
    <w:p w:rsidR="00873866" w:rsidRDefault="00873866" w14:paraId="0BBCC6F9" w14:textId="46A70F9E">
      <w:pPr>
        <w:spacing w:before="300"/>
        <w:ind w:left="100"/>
        <w:rPr>
          <w:rFonts w:ascii="Arial"/>
          <w:b/>
        </w:rPr>
      </w:pPr>
    </w:p>
    <w:p w:rsidR="00873866" w:rsidRDefault="00873866" w14:paraId="6429FEAB" w14:textId="77777777">
      <w:pPr>
        <w:pStyle w:val="Corpotesto"/>
        <w:rPr>
          <w:rFonts w:ascii="Arial"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:rsidTr="5E8EB316" w14:paraId="5CABEFBD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3A1BD983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</w:p>
        </w:tc>
        <w:tc>
          <w:tcPr>
            <w:tcW w:w="9313" w:type="dxa"/>
            <w:tcMar/>
          </w:tcPr>
          <w:p w:rsidR="00873866" w:rsidP="0F2561BC" w:rsidRDefault="00537C2C" w14:paraId="597445F0" w14:textId="26683019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>
              <w:rPr>
                <w:rFonts w:asciiTheme="minorHAnsi" w:hAnsiTheme="minorHAnsi" w:eastAsiaTheme="minorEastAsia" w:cstheme="minorBidi"/>
                <w:i/>
                <w:iCs/>
                <w:spacing w:val="-2"/>
              </w:rPr>
              <w:t>Cybercrimes</w:t>
            </w:r>
          </w:p>
        </w:tc>
      </w:tr>
      <w:tr w:rsidR="00873866" w:rsidTr="5E8EB316" w14:paraId="697072D7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4B19008C" w14:textId="77777777">
            <w:pPr>
              <w:pStyle w:val="TableParagraph"/>
              <w:spacing w:before="76"/>
              <w:ind w:left="90" w:right="6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Insegnamento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integrato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cui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appartiene il modulo</w:t>
            </w:r>
          </w:p>
        </w:tc>
        <w:tc>
          <w:tcPr>
            <w:tcW w:w="9313" w:type="dxa"/>
            <w:tcMar/>
          </w:tcPr>
          <w:p w:rsidR="00873866" w:rsidP="5E8EB316" w:rsidRDefault="00873866" w14:paraId="03309B08" w14:textId="37F2897D">
            <w:pPr>
              <w:pStyle w:val="TableParagraph"/>
              <w:spacing w:before="75"/>
              <w:ind w:left="8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5E8EB316" w:rsidR="3A23F1D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Innovazione digitale nella Pubblica Amministrazione</w:t>
            </w:r>
          </w:p>
          <w:p w:rsidR="00873866" w:rsidP="5E8EB316" w:rsidRDefault="00873866" w14:paraId="1936E15D" w14:textId="0AFFFAE2">
            <w:pPr>
              <w:pStyle w:val="TableParagraph"/>
              <w:spacing w:before="75"/>
              <w:rPr>
                <w:rFonts w:ascii="Calibri" w:hAnsi="Calibri" w:eastAsia="ＭＳ 明朝" w:cs="Arial" w:asciiTheme="minorAscii" w:hAnsiTheme="minorAscii" w:eastAsiaTheme="minorEastAsia" w:cstheme="minorBidi"/>
                <w:i w:val="1"/>
                <w:iCs w:val="1"/>
              </w:rPr>
            </w:pPr>
          </w:p>
        </w:tc>
      </w:tr>
      <w:tr w:rsidR="00873866" w:rsidTr="5E8EB316" w14:paraId="5DBA2731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19F29BF1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Docente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referente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del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 xml:space="preserve"> modulo</w:t>
            </w:r>
          </w:p>
        </w:tc>
        <w:tc>
          <w:tcPr>
            <w:tcW w:w="9313" w:type="dxa"/>
            <w:tcMar/>
          </w:tcPr>
          <w:p w:rsidRPr="00343424" w:rsidR="00873866" w:rsidP="0F2561BC" w:rsidRDefault="00522E7F" w14:paraId="0B552D5E" w14:textId="4B0AD977">
            <w:pPr>
              <w:pStyle w:val="TableParagraph"/>
              <w:ind w:left="0"/>
              <w:rPr>
                <w:rFonts w:asciiTheme="minorHAnsi" w:hAnsiTheme="minorHAnsi" w:eastAsiaTheme="minorEastAsia" w:cstheme="minorBidi"/>
                <w:i/>
                <w:iCs/>
              </w:rPr>
            </w:pP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</w:p>
        </w:tc>
      </w:tr>
      <w:tr w:rsidR="00873866" w:rsidTr="5E8EB316" w14:paraId="68EC0517" w14:textId="77777777">
        <w:trPr>
          <w:trHeight w:val="394"/>
        </w:trPr>
        <w:tc>
          <w:tcPr>
            <w:tcW w:w="3815" w:type="dxa"/>
            <w:tcMar/>
          </w:tcPr>
          <w:p w:rsidR="00873866" w:rsidP="0F2561BC" w:rsidRDefault="004112CE" w14:paraId="497E7DE8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  <w:spacing w:val="-4"/>
              </w:rPr>
              <w:t>Tutor</w:t>
            </w:r>
          </w:p>
        </w:tc>
        <w:tc>
          <w:tcPr>
            <w:tcW w:w="9313" w:type="dxa"/>
            <w:tcMar/>
          </w:tcPr>
          <w:p w:rsidRPr="00537C2C" w:rsidR="00873866" w:rsidP="0F2561BC" w:rsidRDefault="00873866" w14:paraId="14B117D5" w14:textId="7A4577A1">
            <w:pPr>
              <w:pStyle w:val="TableParagraph"/>
              <w:ind w:left="0"/>
              <w:rPr>
                <w:rFonts w:asciiTheme="minorHAnsi" w:hAnsiTheme="minorHAnsi" w:eastAsiaTheme="minorEastAsia" w:cstheme="minorBidi"/>
                <w:i/>
                <w:iCs/>
              </w:rPr>
            </w:pPr>
          </w:p>
        </w:tc>
      </w:tr>
      <w:tr w:rsidR="00431C8B" w:rsidTr="5E8EB316" w14:paraId="412CCD2E" w14:textId="77777777">
        <w:trPr>
          <w:trHeight w:val="634"/>
        </w:trPr>
        <w:tc>
          <w:tcPr>
            <w:tcW w:w="3815" w:type="dxa"/>
            <w:tcMar/>
          </w:tcPr>
          <w:p w:rsidR="00431C8B" w:rsidP="0F2561BC" w:rsidRDefault="00431C8B" w14:paraId="023272AE" w14:textId="6425C0A0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Anno di erogazione</w:t>
            </w:r>
          </w:p>
        </w:tc>
        <w:tc>
          <w:tcPr>
            <w:tcW w:w="9313" w:type="dxa"/>
            <w:tcMar/>
          </w:tcPr>
          <w:p w:rsidR="00431C8B" w:rsidP="0F2561BC" w:rsidRDefault="00431C8B" w14:paraId="64663C86" w14:textId="560B4DAE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</w:p>
        </w:tc>
      </w:tr>
      <w:tr w:rsidR="00431C8B" w:rsidTr="5E8EB316" w14:paraId="0ECE180D" w14:textId="77777777">
        <w:trPr>
          <w:trHeight w:val="634"/>
        </w:trPr>
        <w:tc>
          <w:tcPr>
            <w:tcW w:w="3815" w:type="dxa"/>
            <w:tcMar/>
          </w:tcPr>
          <w:p w:rsidR="00431C8B" w:rsidP="0F2561BC" w:rsidRDefault="00431C8B" w14:paraId="7E447BE9" w14:textId="48F5E8CA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Semestre di erogazione</w:t>
            </w:r>
          </w:p>
        </w:tc>
        <w:tc>
          <w:tcPr>
            <w:tcW w:w="9313" w:type="dxa"/>
            <w:tcMar/>
          </w:tcPr>
          <w:p w:rsidR="00431C8B" w:rsidP="0F2561BC" w:rsidRDefault="00343424" w14:paraId="24529295" w14:textId="26912F51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>
              <w:rPr>
                <w:rFonts w:asciiTheme="minorHAnsi" w:hAnsiTheme="minorHAnsi" w:eastAsiaTheme="minorEastAsia" w:cstheme="minorBidi"/>
                <w:i/>
                <w:iCs/>
              </w:rPr>
              <w:t>Primo</w:t>
            </w:r>
          </w:p>
        </w:tc>
      </w:tr>
      <w:tr w:rsidR="00873866" w:rsidTr="5E8EB316" w14:paraId="6034334A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1A922A99" w14:paraId="418C44D5" w14:textId="2071728C">
            <w:pPr>
              <w:pStyle w:val="TableParagraph"/>
              <w:spacing w:before="75"/>
              <w:ind w:left="90" w:right="448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dedicate alla Didattica Erogativa (TEL-DE – Registrazioni a distanza, fatte dal docente)</w:t>
            </w:r>
          </w:p>
        </w:tc>
        <w:tc>
          <w:tcPr>
            <w:tcW w:w="9313" w:type="dxa"/>
            <w:tcMar/>
          </w:tcPr>
          <w:p w:rsidRPr="00537C2C" w:rsidR="00873866" w:rsidP="1EE8A797" w:rsidRDefault="0AB30679" w14:paraId="3D39746C" w14:textId="77777777">
            <w:pPr>
              <w:pStyle w:val="TableParagraph"/>
              <w:spacing w:before="74"/>
              <w:rPr>
                <w:rFonts w:asciiTheme="minorHAnsi" w:hAnsiTheme="minorHAnsi" w:eastAsiaTheme="minorEastAsia" w:cstheme="minorBidi"/>
              </w:rPr>
            </w:pPr>
            <w:r w:rsidRPr="00537C2C">
              <w:rPr>
                <w:rFonts w:asciiTheme="minorHAnsi" w:hAnsiTheme="minorHAnsi" w:eastAsiaTheme="minorEastAsia" w:cstheme="minorBidi"/>
                <w:spacing w:val="-2"/>
              </w:rPr>
              <w:t>9</w:t>
            </w:r>
          </w:p>
        </w:tc>
      </w:tr>
      <w:tr w:rsidR="0F2561BC" w:rsidTr="5E8EB316" w14:paraId="58D77409" w14:textId="77777777">
        <w:trPr>
          <w:trHeight w:val="300"/>
        </w:trPr>
        <w:tc>
          <w:tcPr>
            <w:tcW w:w="3815" w:type="dxa"/>
            <w:tcMar/>
          </w:tcPr>
          <w:p w:rsidR="0F2561BC" w:rsidP="0F2561BC" w:rsidRDefault="0F2561BC" w14:paraId="662CDD7F" w14:textId="2259D236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in presenza (fatte dal docente)</w:t>
            </w:r>
          </w:p>
        </w:tc>
        <w:tc>
          <w:tcPr>
            <w:tcW w:w="9313" w:type="dxa"/>
            <w:tcMar/>
          </w:tcPr>
          <w:p w:rsidR="0F2561BC" w:rsidP="0F2561BC" w:rsidRDefault="207B7D3E" w14:paraId="7A77DFF4" w14:textId="505EFEB4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1EE8A797">
              <w:rPr>
                <w:rFonts w:asciiTheme="minorHAnsi" w:hAnsiTheme="minorHAnsi" w:eastAsiaTheme="minorEastAsia" w:cstheme="minorBidi"/>
              </w:rPr>
              <w:t>6</w:t>
            </w:r>
          </w:p>
        </w:tc>
      </w:tr>
      <w:tr w:rsidR="00873866" w:rsidTr="5E8EB316" w14:paraId="16CFF5CE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537DACD4" w14:paraId="4DA098D7" w14:textId="0B76E1D6">
            <w:pPr>
              <w:pStyle w:val="TableParagraph"/>
              <w:spacing w:before="76"/>
              <w:ind w:left="90" w:right="398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dedicate alla Didattica Interattiva (TEL-DI – E-</w:t>
            </w:r>
            <w:proofErr w:type="spellStart"/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tivity</w:t>
            </w:r>
            <w:proofErr w:type="spellEnd"/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: interattive, a distanza, gestite dal docente o dal tutor)</w:t>
            </w:r>
          </w:p>
        </w:tc>
        <w:tc>
          <w:tcPr>
            <w:tcW w:w="9313" w:type="dxa"/>
            <w:tcMar/>
          </w:tcPr>
          <w:p w:rsidR="00873866" w:rsidP="0F2561BC" w:rsidRDefault="1A787750" w14:paraId="25144CB8" w14:textId="286895C2">
            <w:pPr>
              <w:pStyle w:val="TableParagraph"/>
              <w:ind w:left="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 xml:space="preserve"> 6</w:t>
            </w:r>
          </w:p>
        </w:tc>
      </w:tr>
      <w:tr w:rsidR="5124FA53" w:rsidTr="5E8EB316" w14:paraId="7B709A1E" w14:textId="77777777">
        <w:trPr>
          <w:trHeight w:val="300"/>
        </w:trPr>
        <w:tc>
          <w:tcPr>
            <w:tcW w:w="3815" w:type="dxa"/>
            <w:tcMar/>
          </w:tcPr>
          <w:p w:rsidR="5124FA53" w:rsidP="0F2561BC" w:rsidRDefault="5124FA53" w14:paraId="6F181FBC" w14:textId="37086078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di aula virtuale (Incontri sincroni online per feedback e supporto orientativo agli studenti, gestit</w:t>
            </w:r>
            <w:r w:rsidRPr="0F2561BC" w:rsidR="4C7A67DF">
              <w:rPr>
                <w:rFonts w:asciiTheme="minorHAnsi" w:hAnsiTheme="minorHAnsi" w:eastAsiaTheme="minorEastAsia" w:cstheme="minorBidi"/>
                <w:color w:val="000000" w:themeColor="text1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 dal docente o dal tutor)</w:t>
            </w:r>
          </w:p>
        </w:tc>
        <w:tc>
          <w:tcPr>
            <w:tcW w:w="9313" w:type="dxa"/>
            <w:tcMar/>
          </w:tcPr>
          <w:p w:rsidR="2DF7E0FD" w:rsidP="0F2561BC" w:rsidRDefault="2DF7E0FD" w14:paraId="287F5F8F" w14:textId="63ABF2C4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3</w:t>
            </w:r>
          </w:p>
        </w:tc>
      </w:tr>
      <w:tr w:rsidR="5124FA53" w:rsidTr="5E8EB316" w14:paraId="6A36812F" w14:textId="77777777">
        <w:trPr>
          <w:trHeight w:val="300"/>
        </w:trPr>
        <w:tc>
          <w:tcPr>
            <w:tcW w:w="3815" w:type="dxa"/>
            <w:tcMar/>
          </w:tcPr>
          <w:p w:rsidR="5124FA53" w:rsidP="0F2561BC" w:rsidRDefault="5124FA53" w14:paraId="515CCB5D" w14:textId="57BC1B35">
            <w:pPr>
              <w:pStyle w:val="TableParagraph"/>
              <w:spacing w:line="276" w:lineRule="auto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F2561BC">
              <w:rPr>
                <w:rFonts w:asciiTheme="minorHAnsi" w:hAnsiTheme="minorHAnsi" w:eastAsiaTheme="minorEastAsia" w:cstheme="minorBidi"/>
                <w:color w:val="000000" w:themeColor="text1"/>
              </w:rPr>
              <w:t>Ore di tutoraggio individuale (g</w:t>
            </w:r>
            <w:r w:rsidRPr="0F2561BC" w:rsidR="660EAE37">
              <w:rPr>
                <w:rFonts w:asciiTheme="minorHAnsi" w:hAnsiTheme="minorHAnsi" w:eastAsiaTheme="minorEastAsia" w:cstheme="minorBidi"/>
                <w:color w:val="000000" w:themeColor="text1"/>
              </w:rPr>
              <w:t>estite dal docente o dal tutor)</w:t>
            </w:r>
          </w:p>
        </w:tc>
        <w:tc>
          <w:tcPr>
            <w:tcW w:w="9313" w:type="dxa"/>
            <w:tcMar/>
          </w:tcPr>
          <w:p w:rsidR="48BF0CD8" w:rsidP="0F2561BC" w:rsidRDefault="48BF0CD8" w14:paraId="3203E2DA" w14:textId="5598E627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3</w:t>
            </w:r>
          </w:p>
        </w:tc>
      </w:tr>
      <w:tr w:rsidR="00873866" w:rsidTr="5E8EB316" w14:paraId="104DD5DA" w14:textId="77777777">
        <w:trPr>
          <w:trHeight w:val="2554"/>
        </w:trPr>
        <w:tc>
          <w:tcPr>
            <w:tcW w:w="3815" w:type="dxa"/>
            <w:tcMar/>
          </w:tcPr>
          <w:p w:rsidR="00873866" w:rsidP="0F2561BC" w:rsidRDefault="004112CE" w14:paraId="431593D6" w14:textId="77777777">
            <w:pPr>
              <w:pStyle w:val="TableParagraph"/>
              <w:spacing w:before="75" w:line="276" w:lineRule="auto"/>
              <w:ind w:left="90" w:right="448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Obiettivi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formativi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competenze</w:t>
            </w:r>
            <w:r w:rsidRPr="0F2561BC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 xml:space="preserve">in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uscita</w:t>
            </w:r>
          </w:p>
        </w:tc>
        <w:tc>
          <w:tcPr>
            <w:tcW w:w="9313" w:type="dxa"/>
            <w:tcMar/>
          </w:tcPr>
          <w:p w:rsidRPr="00343424" w:rsidR="00343424" w:rsidP="00343424" w:rsidRDefault="00343424" w14:paraId="0ECBAAC7" w14:textId="0C7AD6EF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Conoscenza e capacità di comprensione:</w:t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br/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Comprendere la classificazione dei reati informatici e le sfide giuridiche ed etiche legate alle nuove tecnologie (AI, cloud, IoT).</w:t>
            </w:r>
          </w:p>
          <w:p w:rsidRPr="00343424" w:rsidR="00343424" w:rsidP="00343424" w:rsidRDefault="00343424" w14:paraId="36634F7D" w14:textId="04FD9F9D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Capacità di applicare conoscenza e comprensione:</w:t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br/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Identificare e analizzare casi concreti di reati informatici, applicando la normativa esistente e riflettendo sulle sue evoluzioni.</w:t>
            </w:r>
          </w:p>
          <w:p w:rsidRPr="00343424" w:rsidR="00343424" w:rsidP="00343424" w:rsidRDefault="00343424" w14:paraId="1AED34EC" w14:textId="7C8A2F31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Autonomia di giudizio:</w:t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br/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Valutare criticamente scenari giuridici complessi, formulando giudizi informati sulle strategie di prevenzione e contrasto del cybercrime.</w:t>
            </w:r>
          </w:p>
          <w:p w:rsidRPr="00343424" w:rsidR="00343424" w:rsidP="00343424" w:rsidRDefault="00343424" w14:paraId="1913F24A" w14:textId="65F1215A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Abilità comunicative:</w:t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br/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Comunicare in modo efficace argomentazioni giuridiche e operative su tematiche legate al crimine informatico.</w:t>
            </w:r>
          </w:p>
          <w:p w:rsidRPr="00343424" w:rsidR="00873866" w:rsidP="00343424" w:rsidRDefault="00343424" w14:paraId="22F79CFA" w14:textId="7E351CE5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Capacità di apprendere:</w:t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br/>
            </w: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Sviluppare autonomia nello studio delle fonti giuridiche e dottrinali in materia di reati informatici, inclusi quelli emergenti connessi all'AI.</w:t>
            </w:r>
          </w:p>
        </w:tc>
      </w:tr>
      <w:tr w:rsidR="00873866" w:rsidTr="5E8EB316" w14:paraId="13F7E9DF" w14:textId="77777777">
        <w:trPr>
          <w:trHeight w:val="634"/>
        </w:trPr>
        <w:tc>
          <w:tcPr>
            <w:tcW w:w="3815" w:type="dxa"/>
            <w:tcMar/>
          </w:tcPr>
          <w:p w:rsidR="00873866" w:rsidP="0F2561BC" w:rsidRDefault="004112CE" w14:paraId="1511B40F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Argomenti</w:t>
            </w:r>
            <w:r w:rsidRPr="0F2561BC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del</w:t>
            </w:r>
            <w:r w:rsidRPr="0F2561BC">
              <w:rPr>
                <w:rFonts w:asciiTheme="minorHAnsi" w:hAnsiTheme="minorHAnsi" w:eastAsiaTheme="minorEastAsia" w:cstheme="minorBidi"/>
                <w:spacing w:val="-3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</w:p>
        </w:tc>
        <w:tc>
          <w:tcPr>
            <w:tcW w:w="9313" w:type="dxa"/>
            <w:tcMar/>
          </w:tcPr>
          <w:p w:rsidR="00343424" w:rsidP="009D0C01" w:rsidRDefault="00343424" w14:paraId="679F8252" w14:textId="77777777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Introduzione ai reati informatici: definizioni, contesto normativo</w:t>
            </w:r>
          </w:p>
          <w:p w:rsidR="00343424" w:rsidP="002B3F10" w:rsidRDefault="00343424" w14:paraId="3298B047" w14:textId="77777777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Reati informatici “propri” (hacking, accessi abusivi, phishing)</w:t>
            </w:r>
          </w:p>
          <w:p w:rsidR="00343424" w:rsidP="00EE1126" w:rsidRDefault="00343424" w14:paraId="6A6F84F6" w14:textId="77777777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Reati informatici “impropri” (frodi, truffe online, danni digitali)</w:t>
            </w:r>
          </w:p>
          <w:p w:rsidR="00873866" w:rsidP="00343424" w:rsidRDefault="00343424" w14:paraId="63356F33" w14:textId="534CD2D8">
            <w:pPr>
              <w:pStyle w:val="TableParagraph"/>
              <w:numPr>
                <w:ilvl w:val="0"/>
                <w:numId w:val="3"/>
              </w:numPr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 xml:space="preserve">Reati informatici e Intelligenza Artificiale (deepfake, </w:t>
            </w:r>
            <w:proofErr w:type="spellStart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bias</w:t>
            </w:r>
            <w:proofErr w:type="spellEnd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, responsabilità algoritmica)</w:t>
            </w:r>
          </w:p>
        </w:tc>
      </w:tr>
      <w:tr w:rsidR="00873866" w:rsidTr="5E8EB316" w14:paraId="048A34BF" w14:textId="77777777">
        <w:trPr>
          <w:trHeight w:val="1140"/>
        </w:trPr>
        <w:tc>
          <w:tcPr>
            <w:tcW w:w="3815" w:type="dxa"/>
            <w:tcMar/>
          </w:tcPr>
          <w:p w:rsidR="00873866" w:rsidP="0F2561BC" w:rsidRDefault="004112CE" w14:paraId="28D3CA88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F2561BC">
              <w:rPr>
                <w:rFonts w:asciiTheme="minorHAnsi" w:hAnsiTheme="minorHAnsi" w:eastAsiaTheme="minorEastAsia" w:cstheme="minorBidi"/>
              </w:rPr>
              <w:t>Metodi</w:t>
            </w:r>
            <w:r w:rsidRPr="0F2561BC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e</w:t>
            </w:r>
            <w:r w:rsidRPr="0F2561BC">
              <w:rPr>
                <w:rFonts w:asciiTheme="minorHAnsi" w:hAnsiTheme="minorHAnsi" w:eastAsiaTheme="minorEastAsia" w:cstheme="minorBidi"/>
                <w:spacing w:val="-1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</w:rPr>
              <w:t>approcci</w:t>
            </w:r>
            <w:r w:rsidRPr="0F2561BC">
              <w:rPr>
                <w:rFonts w:asciiTheme="minorHAnsi" w:hAnsiTheme="minorHAnsi" w:eastAsiaTheme="minorEastAsia" w:cstheme="minorBidi"/>
                <w:spacing w:val="-1"/>
              </w:rPr>
              <w:t xml:space="preserve"> </w:t>
            </w:r>
            <w:r w:rsidRPr="0F2561BC">
              <w:rPr>
                <w:rFonts w:asciiTheme="minorHAnsi" w:hAnsiTheme="minorHAnsi" w:eastAsiaTheme="minorEastAsia" w:cstheme="minorBidi"/>
                <w:spacing w:val="-2"/>
              </w:rPr>
              <w:t>didattici</w:t>
            </w:r>
          </w:p>
        </w:tc>
        <w:tc>
          <w:tcPr>
            <w:tcW w:w="9313" w:type="dxa"/>
            <w:tcMar/>
          </w:tcPr>
          <w:p w:rsidR="00343424" w:rsidP="00485CD1" w:rsidRDefault="00343424" w14:paraId="737B3B28" w14:textId="77777777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Lezioni videoregistrate (pillole)</w:t>
            </w:r>
          </w:p>
          <w:p w:rsidR="00343424" w:rsidP="00E066DE" w:rsidRDefault="00343424" w14:paraId="22C5B0D7" w14:textId="77777777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E-</w:t>
            </w:r>
            <w:proofErr w:type="spellStart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 xml:space="preserve"> su </w:t>
            </w:r>
            <w:proofErr w:type="spellStart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Moodle</w:t>
            </w:r>
            <w:proofErr w:type="spellEnd"/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: forum, casi studio, esercizi collaborativi</w:t>
            </w:r>
          </w:p>
          <w:p w:rsidR="00343424" w:rsidP="00D50C72" w:rsidRDefault="00343424" w14:paraId="448E364A" w14:textId="77777777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Aula virtuale sincrona per feedback e Q&amp;A</w:t>
            </w:r>
          </w:p>
          <w:p w:rsidR="00873866" w:rsidP="00343424" w:rsidRDefault="00343424" w14:paraId="600D97EC" w14:textId="1EC580B6">
            <w:pPr>
              <w:pStyle w:val="TableParagraph"/>
              <w:numPr>
                <w:ilvl w:val="0"/>
                <w:numId w:val="2"/>
              </w:numPr>
              <w:spacing w:before="74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343424">
              <w:rPr>
                <w:rFonts w:asciiTheme="minorHAnsi" w:hAnsiTheme="minorHAnsi" w:eastAsiaTheme="minorEastAsia" w:cstheme="minorBidi"/>
                <w:i/>
                <w:iCs/>
              </w:rPr>
              <w:t>Incontri in presenza per esercitazioni di gruppo e simulazioni di casi</w:t>
            </w:r>
          </w:p>
        </w:tc>
      </w:tr>
      <w:tr w:rsidRPr="00716511" w:rsidR="00873866" w:rsidTr="5E8EB316" w14:paraId="61A7F7F3" w14:textId="77777777">
        <w:trPr>
          <w:trHeight w:val="3797"/>
        </w:trPr>
        <w:tc>
          <w:tcPr>
            <w:tcW w:w="3815" w:type="dxa"/>
            <w:tcMar/>
          </w:tcPr>
          <w:p w:rsidRPr="00716511" w:rsidR="00873866" w:rsidP="0F2561BC" w:rsidRDefault="004112CE" w14:paraId="4516281A" w14:textId="3FD1708A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 xml:space="preserve">Struttura del </w:t>
            </w:r>
            <w:r w:rsidRPr="00716511">
              <w:rPr>
                <w:rFonts w:asciiTheme="minorHAnsi" w:hAnsiTheme="minorHAnsi" w:eastAsiaTheme="minorEastAsia" w:cstheme="minorBidi"/>
                <w:spacing w:val="-2"/>
              </w:rPr>
              <w:t>modulo</w:t>
            </w:r>
            <w:r w:rsidRPr="00716511" w:rsidR="00431C8B">
              <w:rPr>
                <w:rFonts w:asciiTheme="minorHAnsi" w:hAnsiTheme="minorHAnsi" w:eastAsiaTheme="minorEastAsia" w:cstheme="minorBidi"/>
                <w:spacing w:val="-2"/>
              </w:rPr>
              <w:t xml:space="preserve"> con indicazione delle ore per ciascuna attività</w:t>
            </w:r>
          </w:p>
        </w:tc>
        <w:tc>
          <w:tcPr>
            <w:tcW w:w="9313" w:type="dxa"/>
            <w:tcMar/>
          </w:tcPr>
          <w:p w:rsidRPr="00716511" w:rsidR="006704DD" w:rsidP="006704DD" w:rsidRDefault="006704DD" w14:paraId="4952E975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1 – Introduzione generale</w:t>
            </w:r>
          </w:p>
          <w:p w:rsidR="006704DD" w:rsidP="006704DD" w:rsidRDefault="006A35D9" w14:paraId="20032D82" w14:textId="1CFB14BB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La sezione fornisce un inquadramento introduttivo del modulo e del fenomeno dei reati informatici. Vengono presentate le principali definizioni e classificazioni normative, insieme al contesto giuridico di riferimento sia a livello nazionale sia europeo. È prevista anche un’attività partecipativa finalizzata alla costruzione condivisa di un glossario dei termini chiave del cybercrime.</w:t>
            </w:r>
          </w:p>
          <w:p w:rsidRPr="00716511" w:rsidR="006A35D9" w:rsidP="006704DD" w:rsidRDefault="006A35D9" w14:paraId="591472E8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6704DD" w:rsidP="006704DD" w:rsidRDefault="006704DD" w14:paraId="34F5A8AC" w14:textId="5DD2AACD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2 – Reati informatici propri</w:t>
            </w:r>
          </w:p>
          <w:p w:rsidR="006704DD" w:rsidP="006704DD" w:rsidRDefault="006A35D9" w14:paraId="025F0812" w14:textId="127CBD4B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 xml:space="preserve">Questa sezione approfondisce i reati informatici propri, ossia quelli che colpiscono direttamente sistemi informatici e dati. Vengono analizzate le principali fattispecie previste dal </w:t>
            </w:r>
            <w:proofErr w:type="gramStart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codice penale</w:t>
            </w:r>
            <w:proofErr w:type="gramEnd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 xml:space="preserve">, come l’accesso abusivo, i reati contro la sicurezza dei sistemi e delle comunicazioni, la frode informatica e il phishing. Si trattano inoltre le principali tipologie di attacchi informatici, come </w:t>
            </w:r>
            <w:proofErr w:type="spellStart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DDoS</w:t>
            </w:r>
            <w:proofErr w:type="spellEnd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 xml:space="preserve"> e ransomware, e il fenomeno del furto di dati.</w:t>
            </w:r>
          </w:p>
          <w:p w:rsidRPr="00716511" w:rsidR="006A35D9" w:rsidP="006704DD" w:rsidRDefault="006A35D9" w14:paraId="2C3D2B9E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6704DD" w:rsidP="006704DD" w:rsidRDefault="006704DD" w14:paraId="12C5524A" w14:textId="7E05DEBE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3 – Reati informatici impropri</w:t>
            </w:r>
          </w:p>
          <w:p w:rsidR="00AF27CD" w:rsidP="005A7021" w:rsidRDefault="006A35D9" w14:paraId="3E268AF5" w14:textId="0B08D674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La sezione esamina i reati tradizionali che si manifestano attraverso strumenti informatici. Tra questi vengono affrontati fenomeni come cyberstalking, cyberbullismo, diffusione illecita di contenuti sessuali (</w:t>
            </w:r>
            <w:proofErr w:type="spellStart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revenge</w:t>
            </w:r>
            <w:proofErr w:type="spellEnd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  <w:proofErr w:type="spellStart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porn</w:t>
            </w:r>
            <w:proofErr w:type="spellEnd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, sextortion, grooming), furto di identità digitale e diffamazione online. Viene inoltre analizzata la responsabilità degli Internet provider, anche attraverso un caso studio, e il ruolo delle organizzazioni criminali nel contesto digitale, come nel caso dell’</w:t>
            </w:r>
            <w:proofErr w:type="spellStart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hacktivism</w:t>
            </w:r>
            <w:proofErr w:type="spellEnd"/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. Sono previste attività di approfondimento e discussione.</w:t>
            </w:r>
          </w:p>
          <w:p w:rsidRPr="00716511" w:rsidR="006A35D9" w:rsidP="005A7021" w:rsidRDefault="006A35D9" w14:paraId="65E8EA7A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6704DD" w:rsidP="006704DD" w:rsidRDefault="006704DD" w14:paraId="71CA9C3B" w14:textId="01222D82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4 – Cybercrime e Intelligenza Artificiale</w:t>
            </w:r>
          </w:p>
          <w:p w:rsidR="002A6352" w:rsidP="65539F39" w:rsidRDefault="006A35D9" w14:paraId="537F6AB5" w14:textId="5B354A8A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6A35D9">
              <w:rPr>
                <w:rFonts w:asciiTheme="minorHAnsi" w:hAnsiTheme="minorHAnsi" w:eastAsiaTheme="minorEastAsia" w:cstheme="minorBidi"/>
                <w:i/>
                <w:iCs/>
              </w:rPr>
              <w:t>Questa sezione esplora le intersezioni tra cybercrime e intelligenza artificiale. Vengono analizzati i nuovi rischi legati all’uso dell’AI, come deepfake e fake news, con attenzione ai profili penali. Si riflette inoltre sul ruolo dell’intelligenza artificiale come strumento o possibile autore di reati, affrontando le questioni di responsabilità giuridica. La sezione si conclude con attività di approfondimento e una verifica finale accompagnata da una riflessione sui rischi e le implicazioni etiche e legali dell’AI.</w:t>
            </w:r>
          </w:p>
          <w:p w:rsidRPr="00716511" w:rsidR="006A35D9" w:rsidP="65539F39" w:rsidRDefault="006A35D9" w14:paraId="6A60386F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6704DD" w:rsidP="006704DD" w:rsidRDefault="006704DD" w14:paraId="4C42D438" w14:textId="6BE95686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Conclusione – Incontri sincroni e in presenza</w:t>
            </w:r>
          </w:p>
          <w:p w:rsidRPr="00716511" w:rsidR="006704DD" w:rsidP="006704DD" w:rsidRDefault="006704DD" w14:paraId="3AD43C7D" w14:textId="3D6FA2BF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Attività 1 – Aula virtuale sincrona – Q&amp;A e feedback sui lavori svolti – 3 ore</w:t>
            </w:r>
          </w:p>
          <w:p w:rsidRPr="00716511" w:rsidR="006704DD" w:rsidP="006704DD" w:rsidRDefault="006704DD" w14:paraId="4A82C716" w14:textId="23D0271A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Attività 2 – Lezione in presenza – Laboratorio collaborativo su un caso reale di cybercrime – 2 ore</w:t>
            </w:r>
          </w:p>
          <w:p w:rsidRPr="00716511" w:rsidR="006704DD" w:rsidP="006704DD" w:rsidRDefault="006704DD" w14:paraId="5BE22FE5" w14:textId="4D28ED93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Attività 3 – Lezione in presenza – Simulazione processo penale (</w:t>
            </w:r>
            <w:proofErr w:type="spellStart"/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moot</w:t>
            </w:r>
            <w:proofErr w:type="spellEnd"/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 xml:space="preserve"> court) – 2 ore</w:t>
            </w:r>
          </w:p>
          <w:p w:rsidRPr="00716511" w:rsidR="00873866" w:rsidP="006704DD" w:rsidRDefault="006704DD" w14:paraId="025E9F33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Attività 4 – Lezione in presenza – Discussione finale, restituzione delle competenze e validazione peer-to-peer – 2 ore</w:t>
            </w:r>
          </w:p>
          <w:p w:rsidRPr="00716511" w:rsidR="009E77B1" w:rsidP="006704DD" w:rsidRDefault="009E77B1" w14:paraId="556DEE86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9E77B1" w:rsidP="006704DD" w:rsidRDefault="009E77B1" w14:paraId="5BD1B52E" w14:textId="0F1AF1BE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Tutoraggio individuale – 3 ore a seconda delle esigenze degli studenti durante il corso (tutor)</w:t>
            </w:r>
          </w:p>
          <w:p w:rsidR="009E77B1" w:rsidP="006704DD" w:rsidRDefault="009E77B1" w14:paraId="219141DD" w14:textId="77777777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716511" w:rsidR="0077225A" w:rsidP="006704DD" w:rsidRDefault="0077225A" w14:paraId="21CD7255" w14:textId="1BEC54A9">
            <w:pPr>
              <w:pStyle w:val="TableParagraph"/>
              <w:spacing w:before="75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>
              <w:rPr>
                <w:rFonts w:asciiTheme="minorHAnsi" w:hAnsiTheme="minorHAnsi" w:eastAsiaTheme="minorEastAsia" w:cstheme="minorBidi"/>
                <w:i/>
                <w:iCs/>
              </w:rPr>
              <w:t>N.B. nelle due E-</w:t>
            </w:r>
            <w:proofErr w:type="spellStart"/>
            <w:r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“approfondimento + forum” </w:t>
            </w:r>
            <w:r w:rsidRPr="0077225A">
              <w:rPr>
                <w:rFonts w:asciiTheme="minorHAnsi" w:hAnsiTheme="minorHAnsi" w:eastAsiaTheme="minorEastAsia" w:cstheme="minorBidi"/>
                <w:i/>
                <w:iCs/>
              </w:rPr>
              <w:t xml:space="preserve">viene 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>fornito</w:t>
            </w:r>
            <w:r w:rsidRPr="0077225A">
              <w:rPr>
                <w:rFonts w:asciiTheme="minorHAnsi" w:hAnsiTheme="minorHAnsi" w:eastAsiaTheme="minorEastAsia" w:cstheme="minorBidi"/>
                <w:i/>
                <w:iCs/>
              </w:rPr>
              <w:t xml:space="preserve"> materiale di approfondimento e poi viene chiesto allo studente di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 xml:space="preserve"> partecipare al forum</w:t>
            </w:r>
            <w:r w:rsidRPr="0077225A"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  <w:r w:rsidRPr="0077225A" w:rsidR="002A6352">
              <w:rPr>
                <w:rFonts w:asciiTheme="minorHAnsi" w:hAnsiTheme="minorHAnsi" w:eastAsiaTheme="minorEastAsia" w:cstheme="minorBidi"/>
                <w:i/>
                <w:iCs/>
              </w:rPr>
              <w:t>elaboran</w:t>
            </w:r>
            <w:r w:rsidR="002A6352">
              <w:rPr>
                <w:rFonts w:asciiTheme="minorHAnsi" w:hAnsiTheme="minorHAnsi" w:eastAsiaTheme="minorEastAsia" w:cstheme="minorBidi"/>
                <w:i/>
                <w:iCs/>
              </w:rPr>
              <w:t>do</w:t>
            </w:r>
            <w:r w:rsidRPr="0077225A">
              <w:rPr>
                <w:rFonts w:asciiTheme="minorHAnsi" w:hAnsiTheme="minorHAnsi" w:eastAsiaTheme="minorEastAsia" w:cstheme="minorBidi"/>
                <w:i/>
                <w:iCs/>
              </w:rPr>
              <w:t xml:space="preserve"> un commento/analisi del caso pratico</w:t>
            </w:r>
          </w:p>
        </w:tc>
      </w:tr>
      <w:tr w:rsidRPr="00716511" w:rsidR="00873866" w:rsidTr="5E8EB316" w14:paraId="5406459F" w14:textId="77777777">
        <w:trPr>
          <w:trHeight w:val="634"/>
        </w:trPr>
        <w:tc>
          <w:tcPr>
            <w:tcW w:w="3815" w:type="dxa"/>
            <w:tcMar/>
          </w:tcPr>
          <w:p w:rsidRPr="00716511" w:rsidR="00873866" w:rsidP="0F2561BC" w:rsidRDefault="004112CE" w14:paraId="03E01F27" w14:textId="77777777">
            <w:pPr>
              <w:pStyle w:val="TableParagraph"/>
              <w:spacing w:before="75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 xml:space="preserve">Tipologia di materiali e risorse </w:t>
            </w:r>
            <w:r w:rsidRPr="00716511">
              <w:rPr>
                <w:rFonts w:asciiTheme="minorHAnsi" w:hAnsiTheme="minorHAnsi" w:eastAsiaTheme="minorEastAsia" w:cstheme="minorBidi"/>
                <w:spacing w:val="-2"/>
              </w:rPr>
              <w:t>didattiche</w:t>
            </w:r>
          </w:p>
        </w:tc>
        <w:tc>
          <w:tcPr>
            <w:tcW w:w="9313" w:type="dxa"/>
            <w:tcMar/>
          </w:tcPr>
          <w:p w:rsidRPr="00716511" w:rsidR="00343424" w:rsidP="00B338DF" w:rsidRDefault="00437EC4" w14:paraId="0A3DF47C" w14:textId="75CB31FE">
            <w:pPr>
              <w:pStyle w:val="TableParagraph"/>
              <w:numPr>
                <w:ilvl w:val="0"/>
                <w:numId w:val="2"/>
              </w:numPr>
              <w:spacing w:before="74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Libro di testo, s</w:t>
            </w:r>
            <w:r w:rsidRPr="00716511" w:rsidR="00343424">
              <w:rPr>
                <w:rFonts w:asciiTheme="minorHAnsi" w:hAnsiTheme="minorHAnsi" w:eastAsiaTheme="minorEastAsia" w:cstheme="minorBidi"/>
                <w:i/>
                <w:iCs/>
              </w:rPr>
              <w:t>lide</w:t>
            </w: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s</w:t>
            </w:r>
            <w:r w:rsidRPr="00716511" w:rsidR="00343424">
              <w:rPr>
                <w:rFonts w:asciiTheme="minorHAnsi" w:hAnsiTheme="minorHAnsi" w:eastAsiaTheme="minorEastAsia" w:cstheme="minorBidi"/>
                <w:i/>
                <w:iCs/>
              </w:rPr>
              <w:t xml:space="preserve"> e video</w:t>
            </w:r>
          </w:p>
          <w:p w:rsidRPr="00716511" w:rsidR="00343424" w:rsidP="00410173" w:rsidRDefault="00343424" w14:paraId="779AB079" w14:textId="77777777">
            <w:pPr>
              <w:pStyle w:val="TableParagraph"/>
              <w:numPr>
                <w:ilvl w:val="0"/>
                <w:numId w:val="2"/>
              </w:numPr>
              <w:spacing w:before="74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 xml:space="preserve">Forum su </w:t>
            </w:r>
            <w:proofErr w:type="spellStart"/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Moodle</w:t>
            </w:r>
            <w:proofErr w:type="spellEnd"/>
          </w:p>
          <w:p w:rsidRPr="00716511" w:rsidR="00873866" w:rsidP="00343424" w:rsidRDefault="00343424" w14:paraId="4817CC52" w14:textId="047109EC">
            <w:pPr>
              <w:pStyle w:val="TableParagraph"/>
              <w:numPr>
                <w:ilvl w:val="0"/>
                <w:numId w:val="2"/>
              </w:numPr>
              <w:spacing w:before="74"/>
              <w:ind w:right="181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Quiz e attività collaborative</w:t>
            </w:r>
          </w:p>
        </w:tc>
      </w:tr>
      <w:tr w:rsidRPr="00716511" w:rsidR="00873866" w:rsidTr="5E8EB316" w14:paraId="618E51F7" w14:textId="77777777">
        <w:trPr>
          <w:trHeight w:val="634"/>
        </w:trPr>
        <w:tc>
          <w:tcPr>
            <w:tcW w:w="3815" w:type="dxa"/>
            <w:tcMar/>
          </w:tcPr>
          <w:p w:rsidRPr="00716511" w:rsidR="00873866" w:rsidP="0F2561BC" w:rsidRDefault="004112CE" w14:paraId="0FA9CAD1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>Elenco</w:t>
            </w:r>
            <w:r w:rsidRPr="00716511">
              <w:rPr>
                <w:rFonts w:asciiTheme="minorHAnsi" w:hAnsiTheme="minorHAnsi" w:eastAsiaTheme="minorEastAsia" w:cstheme="minorBidi"/>
                <w:spacing w:val="-2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delle e-</w:t>
            </w:r>
            <w:proofErr w:type="spellStart"/>
            <w:r w:rsidRPr="00716511">
              <w:rPr>
                <w:rFonts w:asciiTheme="minorHAnsi" w:hAnsiTheme="minorHAnsi" w:eastAsiaTheme="minorEastAsia" w:cstheme="minorBidi"/>
                <w:spacing w:val="-2"/>
              </w:rPr>
              <w:t>tivity</w:t>
            </w:r>
            <w:proofErr w:type="spellEnd"/>
          </w:p>
        </w:tc>
        <w:tc>
          <w:tcPr>
            <w:tcW w:w="9313" w:type="dxa"/>
            <w:tcMar/>
          </w:tcPr>
          <w:p w:rsidRPr="00B501DE" w:rsidR="00B501DE" w:rsidP="00B501DE" w:rsidRDefault="00B501DE" w14:paraId="6C503D74" w14:textId="7E3EF228">
            <w:pPr>
              <w:pStyle w:val="TableParagraph"/>
              <w:spacing w:before="7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B501DE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1 – Attività 6</w:t>
            </w:r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– E-</w:t>
            </w:r>
            <w:proofErr w:type="spellStart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(forum) – Glossario della terminologia rilevante in materia di cybercrime – 1 ora</w:t>
            </w:r>
          </w:p>
          <w:p w:rsidRPr="00B501DE" w:rsidR="00B501DE" w:rsidP="00B501DE" w:rsidRDefault="00B501DE" w14:paraId="3E7711A8" w14:textId="1715F483">
            <w:pPr>
              <w:pStyle w:val="TableParagraph"/>
              <w:spacing w:before="7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B501DE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3 – Attività 8</w:t>
            </w:r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i/>
                <w:iCs/>
              </w:rPr>
              <w:t>–</w:t>
            </w:r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E-</w:t>
            </w:r>
            <w:proofErr w:type="spellStart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(approfondimento + forum) – Responsabilità per omissione dell’Internet Provider: Il caso Google Video – 2 ore</w:t>
            </w:r>
          </w:p>
          <w:p w:rsidRPr="00B501DE" w:rsidR="00B501DE" w:rsidP="00B501DE" w:rsidRDefault="00B501DE" w14:paraId="3D33F779" w14:textId="2B524DFE">
            <w:pPr>
              <w:pStyle w:val="TableParagraph"/>
              <w:spacing w:before="7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B501DE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4 – Attività 5</w:t>
            </w:r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– E-</w:t>
            </w:r>
            <w:proofErr w:type="spellStart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(approfondimento + forum) – L’AI come strumento o autore del reato: chi risponde quando un'AI agisce illegalmente? – 2 ore</w:t>
            </w:r>
          </w:p>
          <w:p w:rsidRPr="00716511" w:rsidR="00873866" w:rsidP="00B501DE" w:rsidRDefault="00B501DE" w14:paraId="7FD67689" w14:textId="3FEFE5F3">
            <w:pPr>
              <w:pStyle w:val="TableParagraph"/>
              <w:spacing w:before="75"/>
              <w:rPr>
                <w:rFonts w:asciiTheme="minorHAnsi" w:hAnsiTheme="minorHAnsi" w:eastAsiaTheme="minorEastAsia" w:cstheme="minorBidi"/>
                <w:i/>
                <w:iCs/>
              </w:rPr>
            </w:pPr>
            <w:r w:rsidRPr="00B501DE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Sezione 4 – Attività 6</w:t>
            </w:r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– E-</w:t>
            </w:r>
            <w:proofErr w:type="spellStart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>tivity</w:t>
            </w:r>
            <w:proofErr w:type="spellEnd"/>
            <w:r w:rsidRPr="00B501DE">
              <w:rPr>
                <w:rFonts w:asciiTheme="minorHAnsi" w:hAnsiTheme="minorHAnsi" w:eastAsiaTheme="minorEastAsia" w:cstheme="minorBidi"/>
                <w:i/>
                <w:iCs/>
              </w:rPr>
              <w:t xml:space="preserve"> (quiz + riflessione) – Questionario finale e riflessione guidata su rischi e responsabilità dell’AI – 1 ora</w:t>
            </w:r>
          </w:p>
        </w:tc>
      </w:tr>
      <w:tr w:rsidRPr="00716511" w:rsidR="00873866" w:rsidTr="5E8EB316" w14:paraId="45431B53" w14:textId="77777777">
        <w:trPr>
          <w:trHeight w:val="394"/>
        </w:trPr>
        <w:tc>
          <w:tcPr>
            <w:tcW w:w="3815" w:type="dxa"/>
            <w:tcMar/>
          </w:tcPr>
          <w:p w:rsidRPr="00716511" w:rsidR="00873866" w:rsidP="0F2561BC" w:rsidRDefault="004112CE" w14:paraId="2BEB55A9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 xml:space="preserve">Compiti di docenti e </w:t>
            </w:r>
            <w:r w:rsidRPr="00716511">
              <w:rPr>
                <w:rFonts w:asciiTheme="minorHAnsi" w:hAnsiTheme="minorHAnsi" w:eastAsiaTheme="minorEastAsia" w:cstheme="minorBidi"/>
                <w:spacing w:val="-2"/>
              </w:rPr>
              <w:t>tutor</w:t>
            </w:r>
          </w:p>
        </w:tc>
        <w:tc>
          <w:tcPr>
            <w:tcW w:w="9313" w:type="dxa"/>
            <w:tcMar/>
          </w:tcPr>
          <w:p w:rsidRPr="00716511" w:rsidR="00873866" w:rsidP="39B4764A" w:rsidRDefault="306C7B7E" w14:paraId="13F51790" w14:textId="79DFD0F0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Il </w:t>
            </w:r>
            <w:r w:rsidRPr="39B4764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docente </w:t>
            </w: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ha la responsabilità didattica del modulo, registra le lezioni a distanza e tiene le lezioni in presenza, cura la predisposizione del materiale didattico e supervisiona/coordina le attività del tutor. Inoltre, coordina con i docenti afferenti al cluster la definizione, la gestione e la valutazione delle prove d’esame. </w:t>
            </w:r>
          </w:p>
          <w:p w:rsidRPr="00716511" w:rsidR="00873866" w:rsidP="39B4764A" w:rsidRDefault="306C7B7E" w14:paraId="03E87AF5" w14:textId="63AC08D9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716511" w:rsidR="00873866" w:rsidP="39B4764A" w:rsidRDefault="306C7B7E" w14:paraId="0D2C2314" w14:textId="6371E57E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Il </w:t>
            </w:r>
            <w:r w:rsidRPr="39B4764A">
              <w:rPr>
                <w:rFonts w:ascii="Calibri" w:hAnsi="Calibri" w:eastAsia="Calibri" w:cs="Calibri"/>
                <w:b/>
                <w:bCs/>
                <w:color w:val="000000" w:themeColor="text1"/>
              </w:rPr>
              <w:t>tutor disciplinare</w:t>
            </w: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 ha i seguenti compiti:</w:t>
            </w:r>
          </w:p>
          <w:p w:rsidRPr="00716511" w:rsidR="00873866" w:rsidP="39B4764A" w:rsidRDefault="306C7B7E" w14:paraId="27E6610B" w14:textId="077CE7E1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>•        Supporto accademico: aiuta gli studenti a comprendere i concetti del corso, chiarisce dubbi, risponde nei forum o per e-mail.</w:t>
            </w:r>
          </w:p>
          <w:p w:rsidRPr="00716511" w:rsidR="00873866" w:rsidP="39B4764A" w:rsidRDefault="306C7B7E" w14:paraId="4AB88022" w14:textId="6020ECC3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•        Monitoraggio: controlla che gli studenti completino le attività, rispettino le scadenze e fornisce </w:t>
            </w:r>
            <w:proofErr w:type="gramStart"/>
            <w:r w:rsidRPr="39B4764A">
              <w:rPr>
                <w:rFonts w:ascii="Calibri" w:hAnsi="Calibri" w:eastAsia="Calibri" w:cs="Calibri"/>
                <w:color w:val="000000" w:themeColor="text1"/>
              </w:rPr>
              <w:t>feedback</w:t>
            </w:r>
            <w:proofErr w:type="gramEnd"/>
            <w:r w:rsidRPr="39B4764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716511" w:rsidR="00873866" w:rsidP="39B4764A" w:rsidRDefault="306C7B7E" w14:paraId="50AE3020" w14:textId="0D60BB1A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>•        Motivazione e coaching: incoraggia gli studenti nei momenti di difficoltà, li aiuta a gestire lo stress e a mantenere la motivazione.</w:t>
            </w:r>
          </w:p>
          <w:p w:rsidRPr="00716511" w:rsidR="00873866" w:rsidP="39B4764A" w:rsidRDefault="306C7B7E" w14:paraId="5358E59A" w14:textId="112E98A6">
            <w:pPr>
              <w:spacing w:before="75"/>
              <w:ind w:left="89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>•        Facilitazione delle e-</w:t>
            </w:r>
            <w:proofErr w:type="spellStart"/>
            <w:r w:rsidRPr="39B4764A">
              <w:rPr>
                <w:rFonts w:ascii="Calibri" w:hAnsi="Calibri" w:eastAsia="Calibri" w:cs="Calibri"/>
                <w:color w:val="000000" w:themeColor="text1"/>
              </w:rPr>
              <w:t>tivity</w:t>
            </w:r>
            <w:proofErr w:type="spellEnd"/>
            <w:r w:rsidRPr="39B4764A">
              <w:rPr>
                <w:rFonts w:ascii="Calibri" w:hAnsi="Calibri" w:eastAsia="Calibri" w:cs="Calibri"/>
                <w:color w:val="000000" w:themeColor="text1"/>
              </w:rPr>
              <w:t xml:space="preserve">: promuove la partecipazione a discussioni online, lavori di gruppo, attività collaborative e fornisce </w:t>
            </w:r>
            <w:proofErr w:type="gramStart"/>
            <w:r w:rsidRPr="39B4764A">
              <w:rPr>
                <w:rFonts w:ascii="Calibri" w:hAnsi="Calibri" w:eastAsia="Calibri" w:cs="Calibri"/>
                <w:color w:val="000000" w:themeColor="text1"/>
              </w:rPr>
              <w:t>feedback</w:t>
            </w:r>
            <w:proofErr w:type="gramEnd"/>
            <w:r w:rsidRPr="39B4764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716511" w:rsidR="00873866" w:rsidP="39B4764A" w:rsidRDefault="306C7B7E" w14:paraId="7E420191" w14:textId="67C1AA0D">
            <w:pPr>
              <w:spacing w:before="75"/>
            </w:pPr>
            <w:r w:rsidRPr="39B4764A">
              <w:rPr>
                <w:rFonts w:ascii="Calibri" w:hAnsi="Calibri" w:eastAsia="Calibri" w:cs="Calibri"/>
                <w:color w:val="000000" w:themeColor="text1"/>
              </w:rPr>
              <w:t>•</w:t>
            </w:r>
            <w:r w:rsidR="23D831B1">
              <w:tab/>
            </w:r>
            <w:r w:rsidRPr="39B4764A">
              <w:rPr>
                <w:rFonts w:ascii="Calibri" w:hAnsi="Calibri" w:eastAsia="Calibri" w:cs="Calibri"/>
                <w:color w:val="000000" w:themeColor="text1"/>
              </w:rPr>
              <w:t>Gestisce l'aula virtuale e fa il tutoraggio individuale</w:t>
            </w:r>
          </w:p>
        </w:tc>
      </w:tr>
      <w:tr w:rsidRPr="00716511" w:rsidR="00873866" w:rsidTr="5E8EB316" w14:paraId="5B944E36" w14:textId="77777777">
        <w:trPr>
          <w:trHeight w:val="874"/>
        </w:trPr>
        <w:tc>
          <w:tcPr>
            <w:tcW w:w="3815" w:type="dxa"/>
            <w:tcMar/>
          </w:tcPr>
          <w:p w:rsidRPr="00716511" w:rsidR="00873866" w:rsidP="0F2561BC" w:rsidRDefault="004112CE" w14:paraId="3A7C1E89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>Modalità</w:t>
            </w:r>
            <w:r w:rsidRPr="00716511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di</w:t>
            </w:r>
            <w:r w:rsidRPr="00716511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valutazione</w:t>
            </w:r>
            <w:r w:rsidRPr="00716511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per</w:t>
            </w:r>
            <w:r w:rsidRPr="00716511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il</w:t>
            </w:r>
            <w:r w:rsidRPr="00716511">
              <w:rPr>
                <w:rFonts w:asciiTheme="minorHAnsi" w:hAnsiTheme="minorHAnsi" w:eastAsiaTheme="minorEastAsia" w:cstheme="minorBidi"/>
                <w:spacing w:val="-8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rilascio dell’open badge</w:t>
            </w:r>
          </w:p>
        </w:tc>
        <w:tc>
          <w:tcPr>
            <w:tcW w:w="9313" w:type="dxa"/>
            <w:tcMar/>
          </w:tcPr>
          <w:p w:rsidR="006A35D9" w:rsidP="0F2561BC" w:rsidRDefault="006A35D9" w14:paraId="2634C38D" w14:textId="7D7FB7AA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  <w:i/>
                <w:iCs/>
              </w:rPr>
              <w:t>Colloquio</w:t>
            </w:r>
          </w:p>
          <w:p w:rsidR="006A35D9" w:rsidP="0F2561BC" w:rsidRDefault="006A35D9" w14:paraId="7169A8DA" w14:textId="77777777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</w:p>
          <w:p w:rsidRPr="006A35D9" w:rsidR="006A35D9" w:rsidP="0F2561BC" w:rsidRDefault="006A35D9" w14:paraId="7C622E20" w14:textId="513ECDCA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  <w:r w:rsidRPr="000B785D">
              <w:rPr>
                <w:rFonts w:asciiTheme="minorHAnsi" w:hAnsiTheme="minorHAnsi" w:eastAsiaTheme="minorEastAsia" w:cstheme="minorBidi"/>
                <w:highlight w:val="yellow"/>
              </w:rPr>
              <w:t>Classificazioni ESCO</w:t>
            </w:r>
          </w:p>
          <w:p w:rsidRPr="000B785D" w:rsidR="00537C2C" w:rsidP="006A35D9" w:rsidRDefault="00537C2C" w14:paraId="71C88BD3" w14:textId="77777777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</w:p>
          <w:p w:rsidRPr="000B785D" w:rsidR="000B785D" w:rsidP="006A35D9" w:rsidRDefault="000B785D" w14:paraId="2F845F01" w14:textId="77777777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</w:p>
          <w:p w:rsidRPr="000B785D" w:rsidR="000B785D" w:rsidP="006A35D9" w:rsidRDefault="000B785D" w14:paraId="46AC5060" w14:textId="0996ED68">
            <w:pPr>
              <w:pStyle w:val="TableParagraph"/>
              <w:spacing w:before="75"/>
              <w:ind w:right="429"/>
              <w:jc w:val="both"/>
              <w:rPr>
                <w:rFonts w:asciiTheme="minorHAnsi" w:hAnsiTheme="minorHAnsi" w:eastAsiaTheme="minorEastAsia" w:cstheme="minorBidi"/>
              </w:rPr>
            </w:pPr>
          </w:p>
        </w:tc>
      </w:tr>
      <w:tr w:rsidRPr="00716511" w:rsidR="00873866" w:rsidTr="5E8EB316" w14:paraId="0CCCF73C" w14:textId="77777777">
        <w:trPr>
          <w:trHeight w:val="394"/>
        </w:trPr>
        <w:tc>
          <w:tcPr>
            <w:tcW w:w="3815" w:type="dxa"/>
            <w:tcMar/>
          </w:tcPr>
          <w:p w:rsidRPr="00716511" w:rsidR="00873866" w:rsidP="0F2561BC" w:rsidRDefault="004112CE" w14:paraId="63895790" w14:textId="77777777">
            <w:pPr>
              <w:pStyle w:val="TableParagraph"/>
              <w:spacing w:before="76"/>
              <w:ind w:left="90"/>
              <w:rPr>
                <w:rFonts w:asciiTheme="minorHAnsi" w:hAnsiTheme="minorHAnsi" w:eastAsiaTheme="minorEastAsia" w:cstheme="minorBidi"/>
              </w:rPr>
            </w:pPr>
            <w:r w:rsidRPr="00716511">
              <w:rPr>
                <w:rFonts w:asciiTheme="minorHAnsi" w:hAnsiTheme="minorHAnsi" w:eastAsiaTheme="minorEastAsia" w:cstheme="minorBidi"/>
              </w:rPr>
              <w:t>Testi</w:t>
            </w:r>
            <w:r w:rsidRPr="00716511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e</w:t>
            </w:r>
            <w:r w:rsidRPr="00716511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Materiali</w:t>
            </w:r>
            <w:r w:rsidRPr="00716511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Didattici</w:t>
            </w:r>
            <w:r w:rsidRPr="00716511">
              <w:rPr>
                <w:rFonts w:asciiTheme="minorHAnsi" w:hAnsiTheme="minorHAnsi" w:eastAsiaTheme="minorEastAsia" w:cstheme="minorBidi"/>
                <w:spacing w:val="-5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</w:rPr>
              <w:t>di</w:t>
            </w:r>
            <w:r w:rsidRPr="00716511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00716511">
              <w:rPr>
                <w:rFonts w:asciiTheme="minorHAnsi" w:hAnsiTheme="minorHAnsi" w:eastAsiaTheme="minorEastAsia" w:cstheme="minorBidi"/>
                <w:spacing w:val="-2"/>
              </w:rPr>
              <w:t>riferimento</w:t>
            </w:r>
          </w:p>
        </w:tc>
        <w:tc>
          <w:tcPr>
            <w:tcW w:w="9313" w:type="dxa"/>
            <w:tcMar/>
          </w:tcPr>
          <w:p w:rsidRPr="00716511" w:rsidR="00873866" w:rsidP="4A61C0A7" w:rsidRDefault="00873866" w14:paraId="26F1295F" w14:textId="08854504">
            <w:pPr>
              <w:pStyle w:val="TableParagraph"/>
              <w:ind w:left="0"/>
              <w:rPr>
                <w:noProof w:val="0"/>
                <w:lang w:val="it-IT"/>
              </w:rPr>
            </w:pPr>
            <w:r w:rsidRPr="4A61C0A7" w:rsidR="4FAC66F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it-IT"/>
              </w:rPr>
              <w:t>Indicare i testi didattici di riferimento adottati</w:t>
            </w:r>
          </w:p>
        </w:tc>
      </w:tr>
    </w:tbl>
    <w:p w:rsidR="0056170F" w:rsidRDefault="0056170F" w14:paraId="2E35647B" w14:textId="77777777"/>
    <w:sectPr w:rsidR="0056170F">
      <w:type w:val="continuous"/>
      <w:pgSz w:w="15370" w:h="20480" w:orient="portrait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4F76"/>
    <w:multiLevelType w:val="hybridMultilevel"/>
    <w:tmpl w:val="F98043B6"/>
    <w:lvl w:ilvl="0" w:tplc="A370AE7A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9" w:hanging="360"/>
      </w:pPr>
    </w:lvl>
    <w:lvl w:ilvl="2" w:tplc="0410001B" w:tentative="1">
      <w:start w:val="1"/>
      <w:numFmt w:val="lowerRoman"/>
      <w:lvlText w:val="%3."/>
      <w:lvlJc w:val="right"/>
      <w:pPr>
        <w:ind w:left="1889" w:hanging="180"/>
      </w:pPr>
    </w:lvl>
    <w:lvl w:ilvl="3" w:tplc="0410000F" w:tentative="1">
      <w:start w:val="1"/>
      <w:numFmt w:val="decimal"/>
      <w:lvlText w:val="%4."/>
      <w:lvlJc w:val="left"/>
      <w:pPr>
        <w:ind w:left="2609" w:hanging="360"/>
      </w:pPr>
    </w:lvl>
    <w:lvl w:ilvl="4" w:tplc="04100019" w:tentative="1">
      <w:start w:val="1"/>
      <w:numFmt w:val="lowerLetter"/>
      <w:lvlText w:val="%5."/>
      <w:lvlJc w:val="left"/>
      <w:pPr>
        <w:ind w:left="3329" w:hanging="360"/>
      </w:pPr>
    </w:lvl>
    <w:lvl w:ilvl="5" w:tplc="0410001B" w:tentative="1">
      <w:start w:val="1"/>
      <w:numFmt w:val="lowerRoman"/>
      <w:lvlText w:val="%6."/>
      <w:lvlJc w:val="right"/>
      <w:pPr>
        <w:ind w:left="4049" w:hanging="180"/>
      </w:pPr>
    </w:lvl>
    <w:lvl w:ilvl="6" w:tplc="0410000F" w:tentative="1">
      <w:start w:val="1"/>
      <w:numFmt w:val="decimal"/>
      <w:lvlText w:val="%7."/>
      <w:lvlJc w:val="left"/>
      <w:pPr>
        <w:ind w:left="4769" w:hanging="360"/>
      </w:pPr>
    </w:lvl>
    <w:lvl w:ilvl="7" w:tplc="04100019" w:tentative="1">
      <w:start w:val="1"/>
      <w:numFmt w:val="lowerLetter"/>
      <w:lvlText w:val="%8."/>
      <w:lvlJc w:val="left"/>
      <w:pPr>
        <w:ind w:left="5489" w:hanging="360"/>
      </w:pPr>
    </w:lvl>
    <w:lvl w:ilvl="8" w:tplc="0410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521239EC"/>
    <w:multiLevelType w:val="hybridMultilevel"/>
    <w:tmpl w:val="2D4E5EA4"/>
    <w:lvl w:ilvl="0" w:tplc="D5C2FE58">
      <w:numFmt w:val="bullet"/>
      <w:lvlText w:val="-"/>
      <w:lvlJc w:val="left"/>
      <w:pPr>
        <w:ind w:left="449" w:hanging="360"/>
      </w:pPr>
      <w:rPr>
        <w:rFonts w:hint="default" w:ascii="Calibri" w:hAnsi="Calibri" w:cs="Calibri" w:eastAsiaTheme="minorEastAsia"/>
      </w:rPr>
    </w:lvl>
    <w:lvl w:ilvl="1" w:tplc="04100003" w:tentative="1">
      <w:start w:val="1"/>
      <w:numFmt w:val="bullet"/>
      <w:lvlText w:val="o"/>
      <w:lvlJc w:val="left"/>
      <w:pPr>
        <w:ind w:left="116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hint="default" w:ascii="Wingdings" w:hAnsi="Wingdings"/>
      </w:rPr>
    </w:lvl>
  </w:abstractNum>
  <w:abstractNum w:abstractNumId="2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hint="default" w:ascii="Helvetica Neue" w:hAnsi="Helvetica Neue" w:eastAsia="Helvetica Neue" w:cs="Helvetica Neue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num w:numId="1" w16cid:durableId="2007129262">
    <w:abstractNumId w:val="2"/>
  </w:num>
  <w:num w:numId="2" w16cid:durableId="600913512">
    <w:abstractNumId w:val="1"/>
  </w:num>
  <w:num w:numId="3" w16cid:durableId="18303176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2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6"/>
    <w:rsid w:val="0002015C"/>
    <w:rsid w:val="000B785D"/>
    <w:rsid w:val="00127A21"/>
    <w:rsid w:val="00140452"/>
    <w:rsid w:val="00201407"/>
    <w:rsid w:val="00216D3A"/>
    <w:rsid w:val="002527F8"/>
    <w:rsid w:val="002A2AD0"/>
    <w:rsid w:val="002A6352"/>
    <w:rsid w:val="00343424"/>
    <w:rsid w:val="0035605E"/>
    <w:rsid w:val="003A1632"/>
    <w:rsid w:val="003B1EF8"/>
    <w:rsid w:val="003C697E"/>
    <w:rsid w:val="004112CE"/>
    <w:rsid w:val="00431C8B"/>
    <w:rsid w:val="00437EC4"/>
    <w:rsid w:val="004415AE"/>
    <w:rsid w:val="004E2D30"/>
    <w:rsid w:val="005147BA"/>
    <w:rsid w:val="00522E7F"/>
    <w:rsid w:val="00537C2C"/>
    <w:rsid w:val="0056170F"/>
    <w:rsid w:val="00577043"/>
    <w:rsid w:val="005A7021"/>
    <w:rsid w:val="005E197C"/>
    <w:rsid w:val="00611E59"/>
    <w:rsid w:val="00612120"/>
    <w:rsid w:val="006704DD"/>
    <w:rsid w:val="006A35D9"/>
    <w:rsid w:val="00707A13"/>
    <w:rsid w:val="00716511"/>
    <w:rsid w:val="007673FF"/>
    <w:rsid w:val="0077225A"/>
    <w:rsid w:val="007A6545"/>
    <w:rsid w:val="00873866"/>
    <w:rsid w:val="008A71ED"/>
    <w:rsid w:val="00976B57"/>
    <w:rsid w:val="009A3E98"/>
    <w:rsid w:val="009E77B1"/>
    <w:rsid w:val="00A00CF9"/>
    <w:rsid w:val="00A43694"/>
    <w:rsid w:val="00A742D2"/>
    <w:rsid w:val="00AF27CD"/>
    <w:rsid w:val="00B129D1"/>
    <w:rsid w:val="00B31C05"/>
    <w:rsid w:val="00B4631E"/>
    <w:rsid w:val="00B501DE"/>
    <w:rsid w:val="00BC24D5"/>
    <w:rsid w:val="00BF112B"/>
    <w:rsid w:val="00C25CFE"/>
    <w:rsid w:val="00D45284"/>
    <w:rsid w:val="00EA3A66"/>
    <w:rsid w:val="00EF46E6"/>
    <w:rsid w:val="00F269E1"/>
    <w:rsid w:val="00F83320"/>
    <w:rsid w:val="00FE3231"/>
    <w:rsid w:val="06DD64A7"/>
    <w:rsid w:val="079FF485"/>
    <w:rsid w:val="0925B912"/>
    <w:rsid w:val="0AB30679"/>
    <w:rsid w:val="0F2561BC"/>
    <w:rsid w:val="13EAB104"/>
    <w:rsid w:val="1418CAD4"/>
    <w:rsid w:val="15E16DB2"/>
    <w:rsid w:val="181C99EC"/>
    <w:rsid w:val="1A198253"/>
    <w:rsid w:val="1A787750"/>
    <w:rsid w:val="1A922A99"/>
    <w:rsid w:val="1EE8A797"/>
    <w:rsid w:val="207B7D3E"/>
    <w:rsid w:val="23B9713A"/>
    <w:rsid w:val="23D831B1"/>
    <w:rsid w:val="2B0773FE"/>
    <w:rsid w:val="2DA9AADE"/>
    <w:rsid w:val="2DB7073D"/>
    <w:rsid w:val="2DF7E0FD"/>
    <w:rsid w:val="306C7B7E"/>
    <w:rsid w:val="3308DDE3"/>
    <w:rsid w:val="337E898C"/>
    <w:rsid w:val="33E80F21"/>
    <w:rsid w:val="341DF37A"/>
    <w:rsid w:val="39B4764A"/>
    <w:rsid w:val="3A23F1DA"/>
    <w:rsid w:val="3B213712"/>
    <w:rsid w:val="3C62847C"/>
    <w:rsid w:val="3E1ED156"/>
    <w:rsid w:val="40B41F66"/>
    <w:rsid w:val="48BF0CD8"/>
    <w:rsid w:val="4A61C0A7"/>
    <w:rsid w:val="4BE523F5"/>
    <w:rsid w:val="4C7A67DF"/>
    <w:rsid w:val="4FAC66F9"/>
    <w:rsid w:val="5124FA53"/>
    <w:rsid w:val="537DACD4"/>
    <w:rsid w:val="56F3418B"/>
    <w:rsid w:val="5BB51D64"/>
    <w:rsid w:val="5E60AC25"/>
    <w:rsid w:val="5E8EB316"/>
    <w:rsid w:val="5F28F239"/>
    <w:rsid w:val="6217E1C7"/>
    <w:rsid w:val="65539F39"/>
    <w:rsid w:val="65C59C39"/>
    <w:rsid w:val="660EAE37"/>
    <w:rsid w:val="68DA24A2"/>
    <w:rsid w:val="6BD26326"/>
    <w:rsid w:val="6EB991FB"/>
    <w:rsid w:val="7811A9CB"/>
    <w:rsid w:val="7838B139"/>
    <w:rsid w:val="7BE0DF4B"/>
    <w:rsid w:val="7C78920E"/>
    <w:rsid w:val="7DF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6B8A"/>
  <w15:docId w15:val="{D74AFF08-EAD0-AF4C-9532-76D0B2FEB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Helvetica Neue" w:hAnsi="Helvetica Neue" w:eastAsia="Helvetica Neue" w:cs="Helvetica Neue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rFonts w:ascii="Futura Bold" w:hAnsi="Futura Bold" w:eastAsia="Futura Bold" w:cs="Futura Bold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Helvetica Neue" w:hAnsi="Helvetica Neue" w:eastAsia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77B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E77B1"/>
    <w:rPr>
      <w:rFonts w:ascii="Helvetica Neue" w:hAnsi="Helvetica Neue" w:eastAsia="Helvetica Neue" w:cs="Helvetica Neue"/>
      <w:b/>
      <w:bCs/>
      <w:sz w:val="20"/>
      <w:szCs w:val="20"/>
      <w:lang w:val="it-IT"/>
    </w:rPr>
  </w:style>
  <w:style w:type="paragraph" w:styleId="paragraph" w:customStyle="1">
    <w:name w:val="paragraph"/>
    <w:basedOn w:val="Normale"/>
    <w:rsid w:val="003A163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ja-JP"/>
    </w:rPr>
  </w:style>
  <w:style w:type="character" w:styleId="normaltextrun" w:customStyle="1">
    <w:name w:val="normaltextrun"/>
    <w:basedOn w:val="Carpredefinitoparagrafo"/>
    <w:rsid w:val="003A1632"/>
  </w:style>
  <w:style w:type="character" w:styleId="eop" w:customStyle="1">
    <w:name w:val="eop"/>
    <w:basedOn w:val="Carpredefinitoparagrafo"/>
    <w:rsid w:val="003A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EDUNEXT - LINEE GUIDA PROGETTAZIONE CORSI DI LAUREA - Ver1.0.1</dc:title>
  <dc:creator>Stefano Putinati</dc:creator>
  <lastModifiedBy>Claudia LEDDA</lastModifiedBy>
  <revision>9</revision>
  <lastPrinted>2025-06-09T09:51:00.0000000Z</lastPrinted>
  <dcterms:created xsi:type="dcterms:W3CDTF">2025-07-29T18:43:00.0000000Z</dcterms:created>
  <dcterms:modified xsi:type="dcterms:W3CDTF">2026-04-13T16:17:29.8971159Z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